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AB534" w14:textId="77777777" w:rsidR="00461F89" w:rsidRPr="00224C25" w:rsidRDefault="00461F89" w:rsidP="00461F89">
      <w:pPr>
        <w:rPr>
          <w:b/>
          <w:bCs/>
          <w:color w:val="000000" w:themeColor="text1"/>
        </w:rPr>
      </w:pPr>
      <w:r w:rsidRPr="00224C25">
        <w:rPr>
          <w:b/>
          <w:bCs/>
          <w:color w:val="000000" w:themeColor="text1"/>
        </w:rPr>
        <w:t>Supplementary figures:</w:t>
      </w:r>
    </w:p>
    <w:p w14:paraId="5C166787" w14:textId="77777777" w:rsidR="00461F89" w:rsidRPr="00224C25" w:rsidRDefault="00461F89" w:rsidP="00461F89">
      <w:pPr>
        <w:rPr>
          <w:b/>
          <w:bCs/>
          <w:color w:val="000000" w:themeColor="text1"/>
          <w:lang w:val="en-US"/>
        </w:rPr>
      </w:pPr>
    </w:p>
    <w:p w14:paraId="628E8580" w14:textId="77777777" w:rsidR="00461F89" w:rsidRPr="00224C25" w:rsidRDefault="00461F89" w:rsidP="00461F89">
      <w:pPr>
        <w:jc w:val="both"/>
        <w:rPr>
          <w:b/>
          <w:bCs/>
          <w:color w:val="000000" w:themeColor="text1"/>
        </w:rPr>
      </w:pPr>
      <w:r w:rsidRPr="00224C25">
        <w:rPr>
          <w:b/>
          <w:bCs/>
          <w:color w:val="000000" w:themeColor="text1"/>
        </w:rPr>
        <w:t>Supplementary Fig 1. Tango-GPCR screening for P17</w:t>
      </w:r>
    </w:p>
    <w:p w14:paraId="10A46914" w14:textId="77777777" w:rsidR="00461F89" w:rsidRPr="00224C25" w:rsidRDefault="00461F89" w:rsidP="00461F89">
      <w:pPr>
        <w:jc w:val="both"/>
        <w:rPr>
          <w:b/>
          <w:bCs/>
          <w:color w:val="000000" w:themeColor="text1"/>
        </w:rPr>
      </w:pPr>
    </w:p>
    <w:p w14:paraId="0E5FD51F" w14:textId="77777777" w:rsidR="00461F89" w:rsidRPr="00224C25" w:rsidRDefault="00461F89" w:rsidP="00461F89">
      <w:pPr>
        <w:jc w:val="both"/>
        <w:rPr>
          <w:rFonts w:eastAsia="Calibri"/>
          <w:color w:val="000000" w:themeColor="text1"/>
          <w:kern w:val="24"/>
          <w:lang w:val="en-US"/>
        </w:rPr>
      </w:pPr>
      <w:r w:rsidRPr="00224C25">
        <w:rPr>
          <w:b/>
          <w:bCs/>
          <w:color w:val="000000" w:themeColor="text1"/>
        </w:rPr>
        <w:t>(A</w:t>
      </w:r>
      <w:r w:rsidRPr="00224C25">
        <w:rPr>
          <w:color w:val="000000" w:themeColor="text1"/>
        </w:rPr>
        <w:t xml:space="preserve">) 32 Tango-GPCRs positive hits </w:t>
      </w:r>
      <w:r w:rsidRPr="00224C25">
        <w:rPr>
          <w:b/>
          <w:bCs/>
          <w:color w:val="000000" w:themeColor="text1"/>
        </w:rPr>
        <w:t>(i and ii)</w:t>
      </w:r>
      <w:r w:rsidRPr="00224C25">
        <w:rPr>
          <w:color w:val="000000" w:themeColor="text1"/>
        </w:rPr>
        <w:t xml:space="preserve"> upon the single dose (100 </w:t>
      </w:r>
      <w:proofErr w:type="spellStart"/>
      <w:r w:rsidRPr="00224C25">
        <w:rPr>
          <w:color w:val="000000" w:themeColor="text1"/>
        </w:rPr>
        <w:t>nM</w:t>
      </w:r>
      <w:proofErr w:type="spellEnd"/>
      <w:r w:rsidRPr="00224C25">
        <w:rPr>
          <w:color w:val="000000" w:themeColor="text1"/>
        </w:rPr>
        <w:t xml:space="preserve">) activation of P17 with SCTR as a positive control. Fold change (treatment/basal) were obtained from the basal constitutive activity. </w:t>
      </w:r>
      <w:r w:rsidRPr="00224C25">
        <w:rPr>
          <w:rFonts w:eastAsia="Calibri"/>
          <w:color w:val="000000" w:themeColor="text1"/>
          <w:kern w:val="24"/>
          <w:lang w:val="en-US"/>
        </w:rPr>
        <w:t xml:space="preserve">All values are means ± SD. </w:t>
      </w:r>
      <w:r w:rsidRPr="00224C25">
        <w:rPr>
          <w:b/>
          <w:bCs/>
          <w:color w:val="000000" w:themeColor="text1"/>
        </w:rPr>
        <w:t xml:space="preserve">(B) </w:t>
      </w:r>
      <w:r w:rsidRPr="00224C25">
        <w:rPr>
          <w:color w:val="000000" w:themeColor="text1"/>
        </w:rPr>
        <w:t xml:space="preserve">TANGO </w:t>
      </w:r>
      <w:r w:rsidRPr="00224C25">
        <w:rPr>
          <w:rFonts w:eastAsia="Calibri"/>
          <w:color w:val="000000" w:themeColor="text1"/>
          <w:spacing w:val="3"/>
          <w:kern w:val="24"/>
          <w:lang w:val="en-US"/>
        </w:rPr>
        <w:t>β</w:t>
      </w:r>
      <w:r w:rsidRPr="00224C25">
        <w:rPr>
          <w:color w:val="000000" w:themeColor="text1"/>
        </w:rPr>
        <w:t>-arrestin recruitment assay</w:t>
      </w:r>
      <w:r w:rsidRPr="00224C25">
        <w:rPr>
          <w:b/>
          <w:bCs/>
          <w:color w:val="000000" w:themeColor="text1"/>
        </w:rPr>
        <w:t xml:space="preserve"> </w:t>
      </w:r>
      <w:r w:rsidRPr="00224C25">
        <w:rPr>
          <w:color w:val="000000" w:themeColor="text1"/>
        </w:rPr>
        <w:t xml:space="preserve">in comparison with Tango-MRGPRX2 construct treated with P17 and few representative candidates (Tango-MRGPRF, -CCR2, -CCR3, -HTR1A, -HTR1B, -HTR4, -HTR5 and -HTR6) with P17 in dose response. </w:t>
      </w:r>
      <w:r w:rsidRPr="00224C25">
        <w:rPr>
          <w:rFonts w:eastAsia="Calibri"/>
          <w:color w:val="000000" w:themeColor="text1"/>
          <w:kern w:val="24"/>
          <w:lang w:val="en-US"/>
        </w:rPr>
        <w:t xml:space="preserve">All values are means ± S.E.M. (N=3, n=3). </w:t>
      </w:r>
      <w:r w:rsidRPr="00224C25">
        <w:rPr>
          <w:rFonts w:eastAsia="Calibri"/>
          <w:color w:val="000000" w:themeColor="text1"/>
          <w:kern w:val="24"/>
        </w:rPr>
        <w:t xml:space="preserve">****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rFonts w:eastAsia="Calibri"/>
          <w:color w:val="000000" w:themeColor="text1"/>
          <w:kern w:val="24"/>
        </w:rPr>
        <w:t xml:space="preserve"> 0.0001; ***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0.001; 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0.01; 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0.05 and ns p-value </w:t>
      </w:r>
      <w:r w:rsidRPr="00224C25">
        <w:rPr>
          <w:rFonts w:eastAsia="PMingLiU"/>
          <w:color w:val="000000" w:themeColor="text1"/>
          <w:kern w:val="24"/>
        </w:rPr>
        <w:t>&gt; </w:t>
      </w:r>
      <w:r w:rsidRPr="00224C25">
        <w:rPr>
          <w:rFonts w:eastAsia="Calibri"/>
          <w:color w:val="000000" w:themeColor="text1"/>
          <w:kern w:val="24"/>
        </w:rPr>
        <w:t xml:space="preserve">0.05. </w:t>
      </w:r>
      <w:r w:rsidRPr="00224C25">
        <w:rPr>
          <w:rFonts w:eastAsia="Calibri"/>
          <w:color w:val="000000" w:themeColor="text1"/>
          <w:kern w:val="24"/>
          <w:lang w:val="en-US"/>
        </w:rPr>
        <w:t xml:space="preserve">SCT was used as positive control. </w:t>
      </w:r>
    </w:p>
    <w:p w14:paraId="0D7FCA3A" w14:textId="77777777" w:rsidR="00461F89" w:rsidRPr="00224C25" w:rsidRDefault="00461F89" w:rsidP="00461F89">
      <w:pPr>
        <w:rPr>
          <w:color w:val="000000" w:themeColor="text1"/>
        </w:rPr>
      </w:pPr>
    </w:p>
    <w:p w14:paraId="7A7DBCE1" w14:textId="77777777" w:rsidR="00461F89" w:rsidRPr="00224C25" w:rsidRDefault="00461F89" w:rsidP="00461F89">
      <w:pPr>
        <w:jc w:val="both"/>
        <w:rPr>
          <w:b/>
          <w:bCs/>
          <w:color w:val="000000" w:themeColor="text1"/>
        </w:rPr>
      </w:pPr>
      <w:r w:rsidRPr="00224C25">
        <w:rPr>
          <w:b/>
          <w:bCs/>
          <w:color w:val="000000" w:themeColor="text1"/>
        </w:rPr>
        <w:t xml:space="preserve">Supplementary Fig 2. </w:t>
      </w:r>
      <w:r w:rsidRPr="00224C25">
        <w:rPr>
          <w:b/>
          <w:bCs/>
          <w:i/>
          <w:iCs/>
          <w:color w:val="000000" w:themeColor="text1"/>
        </w:rPr>
        <w:t>In silico</w:t>
      </w:r>
      <w:r w:rsidRPr="00224C25">
        <w:rPr>
          <w:b/>
          <w:bCs/>
          <w:color w:val="000000" w:themeColor="text1"/>
        </w:rPr>
        <w:t xml:space="preserve"> analysis of peptide receptor interaction site </w:t>
      </w:r>
    </w:p>
    <w:p w14:paraId="44C3EB37" w14:textId="77777777" w:rsidR="00461F89" w:rsidRPr="00224C25" w:rsidRDefault="00461F89" w:rsidP="00461F89">
      <w:pPr>
        <w:jc w:val="both"/>
        <w:rPr>
          <w:b/>
          <w:bCs/>
          <w:color w:val="000000" w:themeColor="text1"/>
        </w:rPr>
      </w:pPr>
    </w:p>
    <w:p w14:paraId="2B2370FA" w14:textId="77777777" w:rsidR="00461F89" w:rsidRPr="00224C25" w:rsidRDefault="00461F89" w:rsidP="00461F89">
      <w:pPr>
        <w:jc w:val="both"/>
        <w:rPr>
          <w:rFonts w:eastAsia="PMingLiU"/>
          <w:color w:val="000000" w:themeColor="text1"/>
          <w:kern w:val="24"/>
          <w:lang w:val="en-US"/>
        </w:rPr>
      </w:pPr>
      <w:r w:rsidRPr="00224C25">
        <w:rPr>
          <w:rFonts w:eastAsia="Calibri"/>
          <w:b/>
          <w:bCs/>
          <w:color w:val="000000" w:themeColor="text1"/>
          <w:kern w:val="24"/>
          <w:lang w:val="en-US"/>
        </w:rPr>
        <w:t xml:space="preserve">(A) (i) </w:t>
      </w:r>
      <w:r w:rsidRPr="00224C25">
        <w:rPr>
          <w:rFonts w:eastAsia="Calibri"/>
          <w:color w:val="000000" w:themeColor="text1"/>
          <w:kern w:val="24"/>
          <w:lang w:val="en-US"/>
        </w:rPr>
        <w:t xml:space="preserve">The Ramachandran plot represents 98.8 % aa residues in the allowed and favored region. </w:t>
      </w:r>
    </w:p>
    <w:p w14:paraId="09B1F20D" w14:textId="77777777" w:rsidR="00461F89" w:rsidRPr="00224C25" w:rsidRDefault="00461F89" w:rsidP="00461F89">
      <w:pPr>
        <w:jc w:val="both"/>
        <w:rPr>
          <w:color w:val="000000" w:themeColor="text1"/>
        </w:rPr>
      </w:pPr>
      <w:r w:rsidRPr="00224C25">
        <w:rPr>
          <w:b/>
          <w:bCs/>
          <w:color w:val="000000" w:themeColor="text1"/>
        </w:rPr>
        <w:t xml:space="preserve">(ii) </w:t>
      </w:r>
      <w:r w:rsidRPr="00224C25">
        <w:rPr>
          <w:color w:val="000000" w:themeColor="text1"/>
          <w:lang w:eastAsia="zh-HK"/>
        </w:rPr>
        <w:t xml:space="preserve">Validation of 3D model by virtual docking of a small compound agonist </w:t>
      </w:r>
      <w:r w:rsidRPr="00224C25">
        <w:rPr>
          <w:color w:val="000000" w:themeColor="text1"/>
        </w:rPr>
        <w:t xml:space="preserve">ZINC72453573 with known binding sites on the MRGPRX2 </w:t>
      </w:r>
      <w:r w:rsidRPr="00224C25">
        <w:rPr>
          <w:b/>
          <w:bCs/>
          <w:color w:val="000000" w:themeColor="text1"/>
        </w:rPr>
        <w:t>(iii)</w:t>
      </w:r>
      <w:r w:rsidRPr="00224C25">
        <w:rPr>
          <w:color w:val="000000" w:themeColor="text1"/>
        </w:rPr>
        <w:t xml:space="preserve"> Docking of P17</w:t>
      </w:r>
      <w:r w:rsidRPr="00224C25">
        <w:rPr>
          <w:color w:val="000000" w:themeColor="text1"/>
          <w:vertAlign w:val="subscript"/>
        </w:rPr>
        <w:t>(5-13)</w:t>
      </w:r>
      <w:r w:rsidRPr="00224C25">
        <w:rPr>
          <w:color w:val="000000" w:themeColor="text1"/>
        </w:rPr>
        <w:t xml:space="preserve"> in MRGPRX2 </w:t>
      </w:r>
      <w:r w:rsidRPr="00224C25">
        <w:rPr>
          <w:i/>
          <w:iCs/>
          <w:color w:val="000000" w:themeColor="text1"/>
        </w:rPr>
        <w:t>in silico</w:t>
      </w:r>
      <w:r w:rsidRPr="00224C25">
        <w:rPr>
          <w:color w:val="000000" w:themeColor="text1"/>
        </w:rPr>
        <w:t xml:space="preserve"> model.</w:t>
      </w:r>
      <w:r w:rsidRPr="00224C25">
        <w:rPr>
          <w:b/>
          <w:bCs/>
          <w:color w:val="000000" w:themeColor="text1"/>
        </w:rPr>
        <w:t xml:space="preserve"> (B) </w:t>
      </w:r>
      <w:r w:rsidRPr="00224C25">
        <w:rPr>
          <w:color w:val="000000" w:themeColor="text1"/>
        </w:rPr>
        <w:t xml:space="preserve">Image showing the </w:t>
      </w:r>
      <w:r w:rsidRPr="00224C25">
        <w:rPr>
          <w:b/>
          <w:bCs/>
          <w:color w:val="000000" w:themeColor="text1"/>
        </w:rPr>
        <w:t>(i)</w:t>
      </w:r>
      <w:r w:rsidRPr="00224C25">
        <w:rPr>
          <w:color w:val="000000" w:themeColor="text1"/>
        </w:rPr>
        <w:t xml:space="preserve"> P17</w:t>
      </w:r>
      <w:r w:rsidRPr="00224C25">
        <w:rPr>
          <w:color w:val="000000" w:themeColor="text1"/>
          <w:vertAlign w:val="subscript"/>
        </w:rPr>
        <w:t>(5-13</w:t>
      </w:r>
      <w:r w:rsidRPr="00224C25">
        <w:rPr>
          <w:b/>
          <w:bCs/>
          <w:color w:val="000000" w:themeColor="text1"/>
          <w:vertAlign w:val="subscript"/>
        </w:rPr>
        <w:t>)</w:t>
      </w:r>
      <w:r w:rsidRPr="00224C25">
        <w:rPr>
          <w:b/>
          <w:bCs/>
          <w:color w:val="000000" w:themeColor="text1"/>
        </w:rPr>
        <w:t xml:space="preserve"> </w:t>
      </w:r>
      <w:r w:rsidRPr="00224C25">
        <w:rPr>
          <w:color w:val="000000" w:themeColor="text1"/>
        </w:rPr>
        <w:t xml:space="preserve">and </w:t>
      </w:r>
      <w:r w:rsidRPr="00224C25">
        <w:rPr>
          <w:b/>
          <w:bCs/>
          <w:color w:val="000000" w:themeColor="text1"/>
        </w:rPr>
        <w:t>(ii)</w:t>
      </w:r>
      <w:r w:rsidRPr="00224C25">
        <w:rPr>
          <w:color w:val="000000" w:themeColor="text1"/>
        </w:rPr>
        <w:t xml:space="preserve"> P17</w:t>
      </w:r>
      <w:r w:rsidRPr="00224C25">
        <w:rPr>
          <w:color w:val="000000" w:themeColor="text1"/>
          <w:vertAlign w:val="subscript"/>
        </w:rPr>
        <w:t>(5-11)</w:t>
      </w:r>
      <w:r w:rsidRPr="00224C25">
        <w:rPr>
          <w:color w:val="000000" w:themeColor="text1"/>
        </w:rPr>
        <w:t xml:space="preserve"> binding with the MRGPRX2 3D model. Interaction site of MRGPRX2 amino acids with </w:t>
      </w:r>
      <w:r w:rsidRPr="00224C25">
        <w:rPr>
          <w:b/>
          <w:bCs/>
          <w:color w:val="000000" w:themeColor="text1"/>
        </w:rPr>
        <w:t>(iii)</w:t>
      </w:r>
      <w:r w:rsidRPr="00224C25">
        <w:rPr>
          <w:color w:val="000000" w:themeColor="text1"/>
        </w:rPr>
        <w:t xml:space="preserve"> P17</w:t>
      </w:r>
      <w:r w:rsidRPr="00224C25">
        <w:rPr>
          <w:color w:val="000000" w:themeColor="text1"/>
          <w:vertAlign w:val="subscript"/>
        </w:rPr>
        <w:t>(5-13)</w:t>
      </w:r>
      <w:r w:rsidRPr="00224C25">
        <w:rPr>
          <w:color w:val="000000" w:themeColor="text1"/>
        </w:rPr>
        <w:t xml:space="preserve"> and </w:t>
      </w:r>
      <w:r w:rsidRPr="00224C25">
        <w:rPr>
          <w:b/>
          <w:bCs/>
          <w:color w:val="000000" w:themeColor="text1"/>
        </w:rPr>
        <w:t>(iv)</w:t>
      </w:r>
      <w:r w:rsidRPr="00224C25">
        <w:rPr>
          <w:color w:val="000000" w:themeColor="text1"/>
        </w:rPr>
        <w:t xml:space="preserve"> P17</w:t>
      </w:r>
      <w:r w:rsidRPr="00224C25">
        <w:rPr>
          <w:color w:val="000000" w:themeColor="text1"/>
          <w:vertAlign w:val="subscript"/>
        </w:rPr>
        <w:t>(5-11)</w:t>
      </w:r>
      <w:r w:rsidRPr="00224C25">
        <w:rPr>
          <w:color w:val="000000" w:themeColor="text1"/>
        </w:rPr>
        <w:t xml:space="preserve">. Videos are attached in supplementary documents. </w:t>
      </w:r>
    </w:p>
    <w:p w14:paraId="0A9F9E4A" w14:textId="77777777" w:rsidR="00461F89" w:rsidRPr="00224C25" w:rsidRDefault="00461F89" w:rsidP="00461F89">
      <w:pPr>
        <w:jc w:val="both"/>
        <w:rPr>
          <w:color w:val="000000" w:themeColor="text1"/>
        </w:rPr>
      </w:pPr>
    </w:p>
    <w:p w14:paraId="28882DE3" w14:textId="77777777" w:rsidR="00461F89" w:rsidRPr="00224C25" w:rsidRDefault="00461F89" w:rsidP="00461F89">
      <w:pPr>
        <w:jc w:val="both"/>
        <w:rPr>
          <w:b/>
          <w:bCs/>
          <w:color w:val="000000" w:themeColor="text1"/>
        </w:rPr>
      </w:pPr>
      <w:r w:rsidRPr="00224C25">
        <w:rPr>
          <w:b/>
          <w:bCs/>
          <w:color w:val="000000" w:themeColor="text1"/>
        </w:rPr>
        <w:t xml:space="preserve">Supplementary Fig 3. P17 alanine mutants with Tango </w:t>
      </w:r>
      <w:r w:rsidRPr="00224C25">
        <w:rPr>
          <w:rFonts w:eastAsia="Calibri"/>
          <w:b/>
          <w:bCs/>
          <w:color w:val="000000" w:themeColor="text1"/>
          <w:spacing w:val="3"/>
          <w:kern w:val="24"/>
          <w:lang w:val="en-US"/>
        </w:rPr>
        <w:t>β</w:t>
      </w:r>
      <w:r w:rsidRPr="00224C25">
        <w:rPr>
          <w:b/>
          <w:bCs/>
          <w:color w:val="000000" w:themeColor="text1"/>
        </w:rPr>
        <w:t xml:space="preserve">-arrestin recruitment assay and </w:t>
      </w:r>
      <w:r w:rsidRPr="00224C25">
        <w:rPr>
          <w:rFonts w:eastAsia="Calibri"/>
          <w:b/>
          <w:bCs/>
          <w:color w:val="000000" w:themeColor="text1"/>
          <w:spacing w:val="3"/>
          <w:kern w:val="24"/>
          <w:lang w:val="en-US"/>
        </w:rPr>
        <w:t>β</w:t>
      </w:r>
      <w:r w:rsidRPr="00224C25">
        <w:rPr>
          <w:b/>
          <w:bCs/>
          <w:color w:val="000000" w:themeColor="text1"/>
        </w:rPr>
        <w:t>-hexosaminidase release assay</w:t>
      </w:r>
    </w:p>
    <w:p w14:paraId="0B552F5D" w14:textId="77777777" w:rsidR="00461F89" w:rsidRPr="00224C25" w:rsidRDefault="00461F89" w:rsidP="00461F89">
      <w:pPr>
        <w:jc w:val="both"/>
        <w:rPr>
          <w:b/>
          <w:bCs/>
          <w:color w:val="000000" w:themeColor="text1"/>
        </w:rPr>
      </w:pPr>
    </w:p>
    <w:p w14:paraId="5E06CAB7" w14:textId="77777777" w:rsidR="00461F89" w:rsidRPr="00224C25" w:rsidRDefault="00461F89" w:rsidP="00461F89">
      <w:pPr>
        <w:jc w:val="both"/>
        <w:rPr>
          <w:rFonts w:eastAsia="Calibri"/>
          <w:color w:val="000000" w:themeColor="text1"/>
          <w:kern w:val="24"/>
          <w:lang w:val="en-US"/>
        </w:rPr>
      </w:pPr>
      <w:r w:rsidRPr="00224C25">
        <w:rPr>
          <w:b/>
          <w:bCs/>
          <w:color w:val="000000" w:themeColor="text1"/>
        </w:rPr>
        <w:t>(A) (i)</w:t>
      </w:r>
      <w:r w:rsidRPr="00224C25">
        <w:rPr>
          <w:color w:val="000000" w:themeColor="text1"/>
        </w:rPr>
        <w:t xml:space="preserve"> P17 alanine mutants ([Ala</w:t>
      </w:r>
      <w:r w:rsidRPr="00224C25">
        <w:rPr>
          <w:color w:val="000000" w:themeColor="text1"/>
          <w:vertAlign w:val="superscript"/>
        </w:rPr>
        <w:t>1</w:t>
      </w:r>
      <w:r w:rsidRPr="00224C25">
        <w:rPr>
          <w:color w:val="000000" w:themeColor="text1"/>
        </w:rPr>
        <w:t>]P17, [Ala</w:t>
      </w:r>
      <w:r w:rsidRPr="00224C25">
        <w:rPr>
          <w:color w:val="000000" w:themeColor="text1"/>
          <w:vertAlign w:val="superscript"/>
        </w:rPr>
        <w:t>3</w:t>
      </w:r>
      <w:r w:rsidRPr="00224C25">
        <w:rPr>
          <w:color w:val="000000" w:themeColor="text1"/>
        </w:rPr>
        <w:t>]P17, [Ala</w:t>
      </w:r>
      <w:r w:rsidRPr="00224C25">
        <w:rPr>
          <w:color w:val="000000" w:themeColor="text1"/>
          <w:vertAlign w:val="superscript"/>
        </w:rPr>
        <w:t>5</w:t>
      </w:r>
      <w:r w:rsidRPr="00224C25">
        <w:rPr>
          <w:color w:val="000000" w:themeColor="text1"/>
        </w:rPr>
        <w:t>]P17, [Ala</w:t>
      </w:r>
      <w:r w:rsidRPr="00224C25">
        <w:rPr>
          <w:color w:val="000000" w:themeColor="text1"/>
          <w:vertAlign w:val="superscript"/>
        </w:rPr>
        <w:t>6</w:t>
      </w:r>
      <w:r w:rsidRPr="00224C25">
        <w:rPr>
          <w:color w:val="000000" w:themeColor="text1"/>
        </w:rPr>
        <w:t>]P17, [Ala</w:t>
      </w:r>
      <w:r w:rsidRPr="00224C25">
        <w:rPr>
          <w:color w:val="000000" w:themeColor="text1"/>
          <w:vertAlign w:val="superscript"/>
        </w:rPr>
        <w:t>9</w:t>
      </w:r>
      <w:r w:rsidRPr="00224C25">
        <w:rPr>
          <w:color w:val="000000" w:themeColor="text1"/>
        </w:rPr>
        <w:t>]P17 and [Ala</w:t>
      </w:r>
      <w:r w:rsidRPr="00224C25">
        <w:rPr>
          <w:color w:val="000000" w:themeColor="text1"/>
          <w:vertAlign w:val="superscript"/>
        </w:rPr>
        <w:t>13</w:t>
      </w:r>
      <w:r w:rsidRPr="00224C25">
        <w:rPr>
          <w:color w:val="000000" w:themeColor="text1"/>
        </w:rPr>
        <w:t xml:space="preserve">]P17) showing similar dose response as P17. </w:t>
      </w:r>
      <w:r w:rsidRPr="00224C25">
        <w:rPr>
          <w:b/>
          <w:bCs/>
          <w:color w:val="000000" w:themeColor="text1"/>
        </w:rPr>
        <w:t xml:space="preserve">(ii) </w:t>
      </w:r>
      <w:r w:rsidRPr="00224C25">
        <w:rPr>
          <w:color w:val="000000" w:themeColor="text1"/>
        </w:rPr>
        <w:t>P17 alanine mutants ([Ala</w:t>
      </w:r>
      <w:r w:rsidRPr="00224C25">
        <w:rPr>
          <w:color w:val="000000" w:themeColor="text1"/>
          <w:vertAlign w:val="superscript"/>
        </w:rPr>
        <w:t>2</w:t>
      </w:r>
      <w:r w:rsidRPr="00224C25">
        <w:rPr>
          <w:color w:val="000000" w:themeColor="text1"/>
        </w:rPr>
        <w:t>]P17, [Ala</w:t>
      </w:r>
      <w:r w:rsidRPr="00224C25">
        <w:rPr>
          <w:color w:val="000000" w:themeColor="text1"/>
          <w:vertAlign w:val="superscript"/>
        </w:rPr>
        <w:t>8</w:t>
      </w:r>
      <w:r w:rsidRPr="00224C25">
        <w:rPr>
          <w:color w:val="000000" w:themeColor="text1"/>
        </w:rPr>
        <w:t>]P17, [Ala</w:t>
      </w:r>
      <w:r w:rsidRPr="00224C25">
        <w:rPr>
          <w:color w:val="000000" w:themeColor="text1"/>
          <w:vertAlign w:val="superscript"/>
        </w:rPr>
        <w:t>10</w:t>
      </w:r>
      <w:r w:rsidRPr="00224C25">
        <w:rPr>
          <w:color w:val="000000" w:themeColor="text1"/>
        </w:rPr>
        <w:t>]P17 and [Ala</w:t>
      </w:r>
      <w:r w:rsidRPr="00224C25">
        <w:rPr>
          <w:color w:val="000000" w:themeColor="text1"/>
          <w:vertAlign w:val="superscript"/>
        </w:rPr>
        <w:t>12</w:t>
      </w:r>
      <w:r w:rsidRPr="00224C25">
        <w:rPr>
          <w:color w:val="000000" w:themeColor="text1"/>
        </w:rPr>
        <w:t xml:space="preserve">]P17) showing decreased efficacy and/or potency compared to P17 in </w:t>
      </w:r>
      <w:r w:rsidRPr="00224C25">
        <w:rPr>
          <w:rFonts w:eastAsia="Calibri"/>
          <w:color w:val="000000" w:themeColor="text1"/>
          <w:spacing w:val="3"/>
          <w:kern w:val="24"/>
          <w:lang w:val="en-US"/>
        </w:rPr>
        <w:t>β</w:t>
      </w:r>
      <w:r w:rsidRPr="00224C25">
        <w:rPr>
          <w:color w:val="000000" w:themeColor="text1"/>
        </w:rPr>
        <w:t xml:space="preserve">-arrestin recruitment assay. </w:t>
      </w:r>
      <w:r w:rsidRPr="00224C25">
        <w:rPr>
          <w:b/>
          <w:bCs/>
          <w:color w:val="000000" w:themeColor="text1"/>
        </w:rPr>
        <w:t xml:space="preserve">(B) </w:t>
      </w:r>
      <w:r w:rsidRPr="00224C25">
        <w:rPr>
          <w:color w:val="000000" w:themeColor="text1"/>
        </w:rPr>
        <w:t>P17 alanine mutants ([Ala</w:t>
      </w:r>
      <w:r w:rsidRPr="00224C25">
        <w:rPr>
          <w:color w:val="000000" w:themeColor="text1"/>
          <w:vertAlign w:val="superscript"/>
        </w:rPr>
        <w:t>2</w:t>
      </w:r>
      <w:r w:rsidRPr="00224C25">
        <w:rPr>
          <w:color w:val="000000" w:themeColor="text1"/>
        </w:rPr>
        <w:t>]P17, [Ala</w:t>
      </w:r>
      <w:r w:rsidRPr="00224C25">
        <w:rPr>
          <w:color w:val="000000" w:themeColor="text1"/>
          <w:vertAlign w:val="superscript"/>
        </w:rPr>
        <w:t>8</w:t>
      </w:r>
      <w:r w:rsidRPr="00224C25">
        <w:rPr>
          <w:color w:val="000000" w:themeColor="text1"/>
        </w:rPr>
        <w:t>]P17, [Ala</w:t>
      </w:r>
      <w:r w:rsidRPr="00224C25">
        <w:rPr>
          <w:color w:val="000000" w:themeColor="text1"/>
          <w:vertAlign w:val="superscript"/>
        </w:rPr>
        <w:t>10</w:t>
      </w:r>
      <w:r w:rsidRPr="00224C25">
        <w:rPr>
          <w:color w:val="000000" w:themeColor="text1"/>
        </w:rPr>
        <w:t>]P17 and [Ala</w:t>
      </w:r>
      <w:r w:rsidRPr="00224C25">
        <w:rPr>
          <w:color w:val="000000" w:themeColor="text1"/>
          <w:vertAlign w:val="superscript"/>
        </w:rPr>
        <w:t>12</w:t>
      </w:r>
      <w:r w:rsidRPr="00224C25">
        <w:rPr>
          <w:color w:val="000000" w:themeColor="text1"/>
        </w:rPr>
        <w:t xml:space="preserve">]P17) showing decreased </w:t>
      </w:r>
      <w:r w:rsidRPr="00224C25">
        <w:rPr>
          <w:rFonts w:eastAsia="Calibri"/>
          <w:color w:val="000000" w:themeColor="text1"/>
          <w:spacing w:val="3"/>
          <w:kern w:val="24"/>
          <w:lang w:val="en-US"/>
        </w:rPr>
        <w:t>β</w:t>
      </w:r>
      <w:r w:rsidRPr="00224C25">
        <w:rPr>
          <w:color w:val="000000" w:themeColor="text1"/>
        </w:rPr>
        <w:t xml:space="preserve">-hexosaminidase release compared to P17 in LAD2 cells. </w:t>
      </w:r>
      <w:r w:rsidRPr="00224C25">
        <w:rPr>
          <w:rFonts w:eastAsia="Calibri"/>
          <w:b/>
          <w:bCs/>
          <w:color w:val="000000" w:themeColor="text1"/>
          <w:kern w:val="24"/>
          <w:lang w:val="en-US"/>
        </w:rPr>
        <w:t>(C) (i)</w:t>
      </w:r>
      <w:r w:rsidRPr="00224C25">
        <w:rPr>
          <w:rFonts w:eastAsia="Calibri"/>
          <w:color w:val="000000" w:themeColor="text1"/>
          <w:kern w:val="24"/>
          <w:lang w:val="en-US"/>
        </w:rPr>
        <w:t xml:space="preserve"> Percentage </w:t>
      </w:r>
      <w:r w:rsidRPr="00224C25">
        <w:rPr>
          <w:rFonts w:eastAsia="Calibri"/>
          <w:color w:val="000000" w:themeColor="text1"/>
          <w:spacing w:val="3"/>
          <w:kern w:val="24"/>
          <w:lang w:val="en-US"/>
        </w:rPr>
        <w:t>β</w:t>
      </w:r>
      <w:r w:rsidRPr="00224C25">
        <w:rPr>
          <w:rFonts w:eastAsia="PMingLiU"/>
          <w:color w:val="000000" w:themeColor="text1"/>
          <w:kern w:val="24"/>
          <w:lang w:val="en-US"/>
        </w:rPr>
        <w:t xml:space="preserve">-arrestin recruitment in </w:t>
      </w:r>
      <w:r w:rsidRPr="00224C25">
        <w:rPr>
          <w:rFonts w:eastAsia="Calibri"/>
          <w:color w:val="000000" w:themeColor="text1"/>
          <w:kern w:val="24"/>
          <w:lang w:val="en-US"/>
        </w:rPr>
        <w:t>pre-treated MRGPRX2 transfected HTLA cells with [Ala</w:t>
      </w:r>
      <w:proofErr w:type="gramStart"/>
      <w:r w:rsidRPr="00224C25">
        <w:rPr>
          <w:rFonts w:eastAsia="Calibri"/>
          <w:color w:val="000000" w:themeColor="text1"/>
          <w:kern w:val="24"/>
          <w:vertAlign w:val="superscript"/>
          <w:lang w:val="en-US"/>
        </w:rPr>
        <w:t>8</w:t>
      </w:r>
      <w:r w:rsidRPr="00224C25">
        <w:rPr>
          <w:rFonts w:eastAsia="Calibri"/>
          <w:color w:val="000000" w:themeColor="text1"/>
          <w:kern w:val="24"/>
          <w:lang w:val="en-US"/>
        </w:rPr>
        <w:t>]P</w:t>
      </w:r>
      <w:proofErr w:type="gramEnd"/>
      <w:r w:rsidRPr="00224C25">
        <w:rPr>
          <w:rFonts w:eastAsia="Calibri"/>
          <w:color w:val="000000" w:themeColor="text1"/>
          <w:kern w:val="24"/>
          <w:lang w:val="en-US"/>
        </w:rPr>
        <w:t xml:space="preserve">17 (10 </w:t>
      </w:r>
      <w:r w:rsidRPr="00224C25">
        <w:rPr>
          <w:color w:val="000000" w:themeColor="text1"/>
          <w:shd w:val="clear" w:color="auto" w:fill="FFFFFF"/>
        </w:rPr>
        <w:t>μM</w:t>
      </w:r>
      <w:r w:rsidRPr="00224C25">
        <w:rPr>
          <w:rFonts w:eastAsia="Calibri"/>
          <w:color w:val="000000" w:themeColor="text1"/>
          <w:kern w:val="24"/>
          <w:lang w:val="en-US"/>
        </w:rPr>
        <w:t xml:space="preserve">) and </w:t>
      </w:r>
      <w:r w:rsidRPr="00224C25">
        <w:rPr>
          <w:rFonts w:eastAsia="Calibri"/>
          <w:b/>
          <w:bCs/>
          <w:color w:val="000000" w:themeColor="text1"/>
          <w:kern w:val="24"/>
          <w:lang w:val="en-US"/>
        </w:rPr>
        <w:t>(ii)</w:t>
      </w:r>
      <w:r w:rsidRPr="00224C25">
        <w:rPr>
          <w:rFonts w:eastAsia="Calibri"/>
          <w:color w:val="000000" w:themeColor="text1"/>
          <w:kern w:val="24"/>
          <w:lang w:val="en-US"/>
        </w:rPr>
        <w:t xml:space="preserve"> Percentage</w:t>
      </w:r>
      <w:r w:rsidRPr="00224C25">
        <w:rPr>
          <w:rFonts w:eastAsia="Calibri"/>
          <w:b/>
          <w:bCs/>
          <w:color w:val="000000" w:themeColor="text1"/>
          <w:kern w:val="24"/>
          <w:lang w:val="en-US"/>
        </w:rPr>
        <w:t xml:space="preserve"> </w:t>
      </w:r>
      <w:r w:rsidRPr="00224C25">
        <w:rPr>
          <w:rFonts w:eastAsia="Calibri"/>
          <w:color w:val="000000" w:themeColor="text1"/>
          <w:spacing w:val="3"/>
          <w:kern w:val="24"/>
          <w:lang w:val="en-US"/>
        </w:rPr>
        <w:t>β</w:t>
      </w:r>
      <w:r w:rsidRPr="00224C25">
        <w:rPr>
          <w:rFonts w:eastAsia="Calibri"/>
          <w:color w:val="000000" w:themeColor="text1"/>
          <w:kern w:val="24"/>
          <w:lang w:val="en-US"/>
        </w:rPr>
        <w:t>-hexosaminidase release in pre-treated LAD2 cells with [Ala</w:t>
      </w:r>
      <w:r w:rsidRPr="00224C25">
        <w:rPr>
          <w:rFonts w:eastAsia="Calibri"/>
          <w:color w:val="000000" w:themeColor="text1"/>
          <w:kern w:val="24"/>
          <w:vertAlign w:val="superscript"/>
          <w:lang w:val="en-US"/>
        </w:rPr>
        <w:t>8</w:t>
      </w:r>
      <w:r w:rsidRPr="00224C25">
        <w:rPr>
          <w:rFonts w:eastAsia="Calibri"/>
          <w:color w:val="000000" w:themeColor="text1"/>
          <w:kern w:val="24"/>
          <w:lang w:val="en-US"/>
        </w:rPr>
        <w:t>]P17 (10</w:t>
      </w:r>
      <w:r w:rsidRPr="00224C25">
        <w:rPr>
          <w:color w:val="000000" w:themeColor="text1"/>
          <w:shd w:val="clear" w:color="auto" w:fill="FFFFFF"/>
        </w:rPr>
        <w:t xml:space="preserve"> μM</w:t>
      </w:r>
      <w:r w:rsidRPr="00224C25">
        <w:rPr>
          <w:rFonts w:eastAsia="Calibri"/>
          <w:color w:val="000000" w:themeColor="text1"/>
          <w:kern w:val="24"/>
          <w:lang w:val="en-US"/>
        </w:rPr>
        <w:t xml:space="preserve">). All values are means ± S.E.M. (N=3 and n=3). </w:t>
      </w:r>
      <w:r w:rsidRPr="00224C25">
        <w:rPr>
          <w:rFonts w:eastAsia="Calibri"/>
          <w:color w:val="000000" w:themeColor="text1"/>
          <w:kern w:val="24"/>
        </w:rPr>
        <w:t xml:space="preserve">****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rFonts w:eastAsia="Calibri"/>
          <w:color w:val="000000" w:themeColor="text1"/>
          <w:kern w:val="24"/>
        </w:rPr>
        <w:t xml:space="preserve"> 0.0001; ***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0.001; 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0.01; 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0.05 and ns p-value </w:t>
      </w:r>
      <w:r w:rsidRPr="00224C25">
        <w:rPr>
          <w:rFonts w:eastAsia="PMingLiU"/>
          <w:color w:val="000000" w:themeColor="text1"/>
          <w:kern w:val="24"/>
        </w:rPr>
        <w:t>&gt; </w:t>
      </w:r>
      <w:r w:rsidRPr="00224C25">
        <w:rPr>
          <w:rFonts w:eastAsia="Calibri"/>
          <w:color w:val="000000" w:themeColor="text1"/>
          <w:kern w:val="24"/>
        </w:rPr>
        <w:t xml:space="preserve">0.05. </w:t>
      </w:r>
      <w:r w:rsidRPr="00224C25">
        <w:rPr>
          <w:rFonts w:eastAsia="Calibri"/>
          <w:color w:val="000000" w:themeColor="text1"/>
          <w:kern w:val="24"/>
          <w:lang w:val="en-US"/>
        </w:rPr>
        <w:t>compound 48/80 or/and CST-14 were used as positive controls.</w:t>
      </w:r>
    </w:p>
    <w:p w14:paraId="459BB6B5" w14:textId="77777777" w:rsidR="00461F89" w:rsidRPr="00224C25" w:rsidRDefault="00461F89" w:rsidP="00461F89">
      <w:pPr>
        <w:jc w:val="both"/>
        <w:rPr>
          <w:rFonts w:eastAsia="Calibri"/>
          <w:color w:val="000000" w:themeColor="text1"/>
          <w:kern w:val="24"/>
          <w:lang w:val="en-US"/>
        </w:rPr>
      </w:pPr>
    </w:p>
    <w:p w14:paraId="01BD0AA2" w14:textId="77777777" w:rsidR="00461F89" w:rsidRPr="00224C25" w:rsidRDefault="00461F89" w:rsidP="00461F89">
      <w:pPr>
        <w:jc w:val="both"/>
        <w:rPr>
          <w:b/>
          <w:bCs/>
          <w:color w:val="000000" w:themeColor="text1"/>
        </w:rPr>
      </w:pPr>
      <w:r w:rsidRPr="00224C25">
        <w:rPr>
          <w:b/>
          <w:bCs/>
          <w:color w:val="000000" w:themeColor="text1"/>
        </w:rPr>
        <w:t>Supplementary Fig 4. qRT-PCR verification of MRGPRX2 knockdown in LAD2 cells and MRGPRX2-Mutants expression in HTLA cells.</w:t>
      </w:r>
    </w:p>
    <w:p w14:paraId="4C4DAA43" w14:textId="77777777" w:rsidR="00461F89" w:rsidRPr="00224C25" w:rsidRDefault="00461F89" w:rsidP="00461F89">
      <w:pPr>
        <w:jc w:val="both"/>
        <w:rPr>
          <w:b/>
          <w:bCs/>
          <w:color w:val="000000" w:themeColor="text1"/>
        </w:rPr>
      </w:pPr>
    </w:p>
    <w:p w14:paraId="5A89BC22" w14:textId="77777777" w:rsidR="00461F89" w:rsidRPr="00224C25" w:rsidRDefault="00461F89" w:rsidP="00461F89">
      <w:pPr>
        <w:jc w:val="both"/>
        <w:rPr>
          <w:rFonts w:eastAsia="Calibri"/>
          <w:color w:val="000000" w:themeColor="text1"/>
          <w:kern w:val="24"/>
        </w:rPr>
      </w:pPr>
      <w:r w:rsidRPr="00224C25">
        <w:rPr>
          <w:b/>
          <w:bCs/>
          <w:color w:val="000000" w:themeColor="text1"/>
        </w:rPr>
        <w:t xml:space="preserve">(A) </w:t>
      </w:r>
      <w:r w:rsidRPr="00224C25">
        <w:rPr>
          <w:color w:val="000000" w:themeColor="text1"/>
        </w:rPr>
        <w:t xml:space="preserve">LAD2 cells were used for stable knockdown of MRGPRX2 using two shRNA using lentiviral system. </w:t>
      </w:r>
      <w:r w:rsidRPr="00224C25">
        <w:rPr>
          <w:b/>
          <w:bCs/>
          <w:color w:val="000000" w:themeColor="text1"/>
        </w:rPr>
        <w:t>(i)</w:t>
      </w:r>
      <w:r w:rsidRPr="00224C25">
        <w:rPr>
          <w:color w:val="000000" w:themeColor="text1"/>
        </w:rPr>
        <w:t xml:space="preserve"> Relative expression of MRGPRX2 in stably knocked down LAD2 cells is compared with the control shRNA treated LAD2 cells.</w:t>
      </w:r>
      <w:r w:rsidRPr="00224C25">
        <w:rPr>
          <w:b/>
          <w:bCs/>
          <w:color w:val="000000" w:themeColor="text1"/>
        </w:rPr>
        <w:t xml:space="preserve"> (ii) </w:t>
      </w:r>
      <w:r w:rsidRPr="00224C25">
        <w:rPr>
          <w:color w:val="000000" w:themeColor="text1"/>
        </w:rPr>
        <w:t xml:space="preserve">Relative expression of MRGPRX2 and its mutants (MRGPRX2*F172A and MRGPRX2*172-175) are compared with the non-transfected HTLA cells. </w:t>
      </w:r>
      <w:r w:rsidRPr="00224C25">
        <w:rPr>
          <w:rFonts w:eastAsia="Calibri"/>
          <w:color w:val="000000" w:themeColor="text1"/>
          <w:kern w:val="24"/>
          <w:lang w:val="en-US"/>
        </w:rPr>
        <w:t xml:space="preserve">All values are means ± SD. (N=3 and n=3).   </w:t>
      </w:r>
      <w:r w:rsidRPr="00224C25">
        <w:rPr>
          <w:rFonts w:eastAsia="Calibri"/>
          <w:color w:val="000000" w:themeColor="text1"/>
          <w:kern w:val="24"/>
        </w:rPr>
        <w:t xml:space="preserve">****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rFonts w:eastAsia="Calibri"/>
          <w:color w:val="000000" w:themeColor="text1"/>
          <w:kern w:val="24"/>
        </w:rPr>
        <w:t xml:space="preserve"> 0.0001; ***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0.001; 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0.01; 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0.05 and ns p-value </w:t>
      </w:r>
      <w:r w:rsidRPr="00224C25">
        <w:rPr>
          <w:rFonts w:eastAsia="PMingLiU"/>
          <w:color w:val="000000" w:themeColor="text1"/>
          <w:kern w:val="24"/>
        </w:rPr>
        <w:t>&gt; </w:t>
      </w:r>
      <w:r w:rsidRPr="00224C25">
        <w:rPr>
          <w:rFonts w:eastAsia="Calibri"/>
          <w:color w:val="000000" w:themeColor="text1"/>
          <w:kern w:val="24"/>
        </w:rPr>
        <w:t xml:space="preserve">0.05. </w:t>
      </w:r>
    </w:p>
    <w:p w14:paraId="7103557E" w14:textId="77777777" w:rsidR="00461F89" w:rsidRPr="00224C25" w:rsidRDefault="00461F89" w:rsidP="00461F89">
      <w:pPr>
        <w:jc w:val="both"/>
        <w:rPr>
          <w:color w:val="000000" w:themeColor="text1"/>
        </w:rPr>
      </w:pPr>
    </w:p>
    <w:p w14:paraId="27F3A741" w14:textId="77777777" w:rsidR="00461F89" w:rsidRPr="00224C25" w:rsidRDefault="00461F89" w:rsidP="00461F89">
      <w:pPr>
        <w:jc w:val="both"/>
        <w:rPr>
          <w:color w:val="000000" w:themeColor="text1"/>
        </w:rPr>
      </w:pPr>
      <w:r w:rsidRPr="00224C25">
        <w:rPr>
          <w:b/>
          <w:bCs/>
          <w:color w:val="000000" w:themeColor="text1"/>
        </w:rPr>
        <w:t>Supplementary Fig 5. Transwell migration model and P17 control on THP-1 migration</w:t>
      </w:r>
    </w:p>
    <w:p w14:paraId="4964326B" w14:textId="77777777" w:rsidR="00461F89" w:rsidRPr="00224C25" w:rsidRDefault="00461F89" w:rsidP="00461F89">
      <w:pPr>
        <w:jc w:val="both"/>
        <w:rPr>
          <w:rFonts w:eastAsia="PMingLiU"/>
          <w:color w:val="000000" w:themeColor="text1"/>
          <w:kern w:val="24"/>
        </w:rPr>
      </w:pPr>
      <w:r w:rsidRPr="00224C25">
        <w:rPr>
          <w:rFonts w:eastAsia="PMingLiU"/>
          <w:b/>
          <w:bCs/>
          <w:color w:val="000000" w:themeColor="text1"/>
          <w:kern w:val="24"/>
        </w:rPr>
        <w:t xml:space="preserve">(A) (i) </w:t>
      </w:r>
      <w:r w:rsidRPr="00224C25">
        <w:rPr>
          <w:rFonts w:eastAsia="PMingLiU"/>
          <w:color w:val="000000" w:themeColor="text1"/>
          <w:kern w:val="24"/>
        </w:rPr>
        <w:t xml:space="preserve">Cartoon of THP-1 monocytes Transwell migration model. </w:t>
      </w:r>
      <w:r w:rsidRPr="00224C25">
        <w:rPr>
          <w:rFonts w:eastAsia="PMingLiU"/>
          <w:b/>
          <w:bCs/>
          <w:color w:val="000000" w:themeColor="text1"/>
          <w:kern w:val="24"/>
        </w:rPr>
        <w:t xml:space="preserve">(ii) </w:t>
      </w:r>
      <w:r w:rsidRPr="00224C25">
        <w:rPr>
          <w:rFonts w:eastAsia="PMingLiU"/>
          <w:color w:val="000000" w:themeColor="text1"/>
          <w:kern w:val="24"/>
        </w:rPr>
        <w:t>Representative image showing the migratory effect of P17 alone on THP-1 monocytes (N=3).</w:t>
      </w:r>
    </w:p>
    <w:p w14:paraId="23EF097E" w14:textId="77777777" w:rsidR="00461F89" w:rsidRPr="00224C25" w:rsidRDefault="00461F89" w:rsidP="00461F89">
      <w:pPr>
        <w:jc w:val="both"/>
        <w:rPr>
          <w:color w:val="000000" w:themeColor="text1"/>
        </w:rPr>
      </w:pPr>
    </w:p>
    <w:p w14:paraId="244BD95A" w14:textId="77777777" w:rsidR="00461F89" w:rsidRPr="00224C25" w:rsidRDefault="00461F89" w:rsidP="00461F89">
      <w:pPr>
        <w:jc w:val="both"/>
        <w:rPr>
          <w:b/>
          <w:bCs/>
          <w:color w:val="000000" w:themeColor="text1"/>
        </w:rPr>
      </w:pPr>
      <w:r w:rsidRPr="00224C25">
        <w:rPr>
          <w:b/>
          <w:bCs/>
          <w:color w:val="000000" w:themeColor="text1"/>
        </w:rPr>
        <w:lastRenderedPageBreak/>
        <w:t xml:space="preserve">Supplementary Fig 6. Flow cytometry dot blots showing the human monocyte verification </w:t>
      </w:r>
    </w:p>
    <w:p w14:paraId="0CDE1C7A" w14:textId="77777777" w:rsidR="00461F89" w:rsidRPr="00224C25" w:rsidRDefault="00461F89" w:rsidP="00461F89">
      <w:pPr>
        <w:rPr>
          <w:rFonts w:eastAsia="PMingLiU"/>
          <w:color w:val="000000" w:themeColor="text1"/>
          <w:kern w:val="24"/>
        </w:rPr>
      </w:pPr>
      <w:r w:rsidRPr="00224C25">
        <w:rPr>
          <w:b/>
          <w:bCs/>
          <w:color w:val="000000" w:themeColor="text1"/>
        </w:rPr>
        <w:t xml:space="preserve">(A) </w:t>
      </w:r>
      <w:r w:rsidRPr="00224C25">
        <w:rPr>
          <w:color w:val="000000" w:themeColor="text1"/>
        </w:rPr>
        <w:t>Representative flow cytometry dot blot of CD11b-PE and CD14-FITC double stained markers in human blood monocytes with their isotype controls (</w:t>
      </w:r>
      <w:r w:rsidRPr="00224C25">
        <w:rPr>
          <w:rFonts w:eastAsia="PMingLiU"/>
          <w:color w:val="000000" w:themeColor="text1"/>
          <w:kern w:val="24"/>
        </w:rPr>
        <w:t xml:space="preserve">PE conjugated IgG1kappa and FITC conjugated </w:t>
      </w:r>
      <w:r w:rsidRPr="00224C25">
        <w:rPr>
          <w:color w:val="000000" w:themeColor="text1"/>
          <w:shd w:val="clear" w:color="auto" w:fill="FFFFFF"/>
        </w:rPr>
        <w:t>IgG</w:t>
      </w:r>
      <w:r w:rsidRPr="00224C25">
        <w:rPr>
          <w:color w:val="000000" w:themeColor="text1"/>
          <w:vertAlign w:val="subscript"/>
        </w:rPr>
        <w:t>2a</w:t>
      </w:r>
      <w:r w:rsidRPr="00224C25">
        <w:rPr>
          <w:color w:val="000000" w:themeColor="text1"/>
          <w:shd w:val="clear" w:color="auto" w:fill="FFFFFF"/>
        </w:rPr>
        <w:t>, kappa</w:t>
      </w:r>
      <w:r w:rsidRPr="00224C25">
        <w:rPr>
          <w:rFonts w:eastAsia="PMingLiU"/>
          <w:color w:val="000000" w:themeColor="text1"/>
          <w:kern w:val="24"/>
        </w:rPr>
        <w:t xml:space="preserve">) (N=2). </w:t>
      </w:r>
    </w:p>
    <w:p w14:paraId="3FF73270" w14:textId="77777777" w:rsidR="00461F89" w:rsidRPr="00224C25" w:rsidRDefault="00461F89" w:rsidP="00461F89">
      <w:pPr>
        <w:rPr>
          <w:color w:val="000000" w:themeColor="text1"/>
        </w:rPr>
      </w:pPr>
    </w:p>
    <w:p w14:paraId="0956BC6C" w14:textId="77777777" w:rsidR="00461F89" w:rsidRPr="00224C25" w:rsidRDefault="00461F89" w:rsidP="00461F89">
      <w:pPr>
        <w:jc w:val="both"/>
        <w:rPr>
          <w:b/>
          <w:bCs/>
          <w:color w:val="000000" w:themeColor="text1"/>
        </w:rPr>
      </w:pPr>
      <w:r w:rsidRPr="00224C25">
        <w:rPr>
          <w:b/>
          <w:bCs/>
          <w:color w:val="000000" w:themeColor="text1"/>
        </w:rPr>
        <w:t xml:space="preserve">Supplementary Fig 7. Flow cytometry dot blots showing the human monocyte verification </w:t>
      </w:r>
    </w:p>
    <w:p w14:paraId="5F872485" w14:textId="77777777" w:rsidR="00461F89" w:rsidRPr="00224C25" w:rsidRDefault="00461F89" w:rsidP="00461F89">
      <w:pPr>
        <w:rPr>
          <w:color w:val="000000" w:themeColor="text1"/>
        </w:rPr>
      </w:pPr>
      <w:r w:rsidRPr="00224C25">
        <w:rPr>
          <w:b/>
          <w:bCs/>
          <w:color w:val="000000" w:themeColor="text1"/>
        </w:rPr>
        <w:t xml:space="preserve">(A) </w:t>
      </w:r>
      <w:r w:rsidRPr="00224C25">
        <w:rPr>
          <w:color w:val="000000" w:themeColor="text1"/>
        </w:rPr>
        <w:t>Representative flow cytometry dot blot of CD11b-PE stained marker in human blood monocytes with their isotype controls (</w:t>
      </w:r>
      <w:r w:rsidRPr="00224C25">
        <w:rPr>
          <w:rFonts w:eastAsia="PMingLiU"/>
          <w:color w:val="000000" w:themeColor="text1"/>
          <w:kern w:val="24"/>
        </w:rPr>
        <w:t xml:space="preserve">PE conjugated IgG1kappa) (N=2). (B) </w:t>
      </w:r>
      <w:r w:rsidRPr="00224C25">
        <w:rPr>
          <w:color w:val="000000" w:themeColor="text1"/>
        </w:rPr>
        <w:t>Representative flow cytometry dot blot of CD14-FITC stained marker in human blood monocytes with their isotype controls (</w:t>
      </w:r>
      <w:r w:rsidRPr="00224C25">
        <w:rPr>
          <w:rFonts w:eastAsia="PMingLiU"/>
          <w:color w:val="000000" w:themeColor="text1"/>
          <w:kern w:val="24"/>
        </w:rPr>
        <w:t xml:space="preserve">FITC conjugated </w:t>
      </w:r>
      <w:r w:rsidRPr="00224C25">
        <w:rPr>
          <w:color w:val="000000" w:themeColor="text1"/>
          <w:shd w:val="clear" w:color="auto" w:fill="FFFFFF"/>
        </w:rPr>
        <w:t>IgG</w:t>
      </w:r>
      <w:r w:rsidRPr="00224C25">
        <w:rPr>
          <w:color w:val="000000" w:themeColor="text1"/>
          <w:vertAlign w:val="subscript"/>
        </w:rPr>
        <w:t>2a</w:t>
      </w:r>
      <w:r w:rsidRPr="00224C25">
        <w:rPr>
          <w:color w:val="000000" w:themeColor="text1"/>
          <w:shd w:val="clear" w:color="auto" w:fill="FFFFFF"/>
        </w:rPr>
        <w:t>, kappa</w:t>
      </w:r>
      <w:r w:rsidRPr="00224C25">
        <w:rPr>
          <w:rFonts w:eastAsia="PMingLiU"/>
          <w:color w:val="000000" w:themeColor="text1"/>
          <w:kern w:val="24"/>
        </w:rPr>
        <w:t>) (N=2).</w:t>
      </w:r>
    </w:p>
    <w:p w14:paraId="5E90DF60" w14:textId="77777777" w:rsidR="00461F89" w:rsidRPr="00224C25" w:rsidRDefault="00461F89" w:rsidP="00461F89">
      <w:pPr>
        <w:jc w:val="both"/>
        <w:rPr>
          <w:color w:val="000000" w:themeColor="text1"/>
        </w:rPr>
      </w:pPr>
    </w:p>
    <w:p w14:paraId="76D656A4" w14:textId="77777777" w:rsidR="00461F89" w:rsidRPr="00224C25" w:rsidRDefault="00461F89" w:rsidP="00461F89">
      <w:pPr>
        <w:jc w:val="both"/>
        <w:rPr>
          <w:b/>
          <w:bCs/>
          <w:color w:val="000000" w:themeColor="text1"/>
        </w:rPr>
      </w:pPr>
      <w:r w:rsidRPr="00224C25">
        <w:rPr>
          <w:b/>
          <w:bCs/>
          <w:color w:val="000000" w:themeColor="text1"/>
        </w:rPr>
        <w:t xml:space="preserve">Supplementary Fig 8. Flow cytometry dot blots showing the THP-1 monocyte differentiation </w:t>
      </w:r>
    </w:p>
    <w:p w14:paraId="17C6B995" w14:textId="77777777" w:rsidR="00461F89" w:rsidRPr="00224C25" w:rsidRDefault="00461F89" w:rsidP="00461F89">
      <w:pPr>
        <w:jc w:val="both"/>
        <w:rPr>
          <w:color w:val="000000" w:themeColor="text1"/>
        </w:rPr>
      </w:pPr>
      <w:r w:rsidRPr="00224C25">
        <w:rPr>
          <w:b/>
          <w:bCs/>
          <w:color w:val="000000" w:themeColor="text1"/>
        </w:rPr>
        <w:t xml:space="preserve">(A) </w:t>
      </w:r>
      <w:r w:rsidRPr="00224C25">
        <w:rPr>
          <w:color w:val="000000" w:themeColor="text1"/>
        </w:rPr>
        <w:t xml:space="preserve">Representative flow cytometry dot blot of CD11b marker and </w:t>
      </w:r>
      <w:r w:rsidRPr="00224C25">
        <w:rPr>
          <w:rFonts w:eastAsia="PMingLiU"/>
          <w:color w:val="000000" w:themeColor="text1"/>
          <w:kern w:val="24"/>
        </w:rPr>
        <w:t xml:space="preserve">PE conjugated IgG1kappa </w:t>
      </w:r>
      <w:r w:rsidRPr="00224C25">
        <w:rPr>
          <w:color w:val="000000" w:themeColor="text1"/>
        </w:rPr>
        <w:t xml:space="preserve">isotype control on THP-1 cells treated with water and P17 (N=3).  </w:t>
      </w:r>
    </w:p>
    <w:p w14:paraId="3DCA411A" w14:textId="77777777" w:rsidR="00461F89" w:rsidRPr="00224C25" w:rsidRDefault="00461F89" w:rsidP="00461F89">
      <w:pPr>
        <w:jc w:val="both"/>
        <w:rPr>
          <w:b/>
          <w:bCs/>
          <w:color w:val="000000" w:themeColor="text1"/>
        </w:rPr>
      </w:pPr>
    </w:p>
    <w:p w14:paraId="13305039" w14:textId="77777777" w:rsidR="00461F89" w:rsidRPr="00224C25" w:rsidRDefault="00461F89" w:rsidP="00461F89">
      <w:pPr>
        <w:jc w:val="both"/>
        <w:rPr>
          <w:b/>
          <w:bCs/>
          <w:color w:val="000000" w:themeColor="text1"/>
        </w:rPr>
      </w:pPr>
      <w:r w:rsidRPr="00224C25">
        <w:rPr>
          <w:b/>
          <w:bCs/>
          <w:color w:val="000000" w:themeColor="text1"/>
        </w:rPr>
        <w:t xml:space="preserve">Supplementary Fig 9. Histology and H&amp;E staining of P17 injected ear tissues </w:t>
      </w:r>
    </w:p>
    <w:p w14:paraId="3F826303" w14:textId="77777777" w:rsidR="00461F89" w:rsidRPr="00224C25" w:rsidRDefault="00461F89" w:rsidP="00461F89">
      <w:pPr>
        <w:jc w:val="both"/>
        <w:rPr>
          <w:color w:val="000000" w:themeColor="text1"/>
          <w:kern w:val="24"/>
          <w:lang w:val="en-US"/>
        </w:rPr>
      </w:pPr>
      <w:r w:rsidRPr="00224C25">
        <w:rPr>
          <w:color w:val="000000" w:themeColor="text1"/>
          <w:kern w:val="24"/>
          <w:lang w:val="en-US"/>
        </w:rPr>
        <w:t xml:space="preserve">Mouse ears intradermally injected (N=6/group) with P17 (10 μM), saline, saline (DMSO), P17 (DMSO) and P17 (10 μM) co-treated with quercetin (100 μM) were recovered at 24 </w:t>
      </w:r>
      <w:proofErr w:type="spellStart"/>
      <w:r w:rsidRPr="00224C25">
        <w:rPr>
          <w:color w:val="000000" w:themeColor="text1"/>
          <w:kern w:val="24"/>
          <w:lang w:val="en-US"/>
        </w:rPr>
        <w:t>hr</w:t>
      </w:r>
      <w:proofErr w:type="spellEnd"/>
      <w:r w:rsidRPr="00224C25">
        <w:rPr>
          <w:color w:val="000000" w:themeColor="text1"/>
          <w:kern w:val="24"/>
          <w:lang w:val="en-US"/>
        </w:rPr>
        <w:t xml:space="preserve"> post-injection, embedded in paraffin. 10 </w:t>
      </w:r>
      <w:proofErr w:type="spellStart"/>
      <w:r w:rsidRPr="00224C25">
        <w:rPr>
          <w:rFonts w:eastAsia="PMingLiU"/>
          <w:color w:val="000000" w:themeColor="text1"/>
          <w:kern w:val="24"/>
        </w:rPr>
        <w:t>μm</w:t>
      </w:r>
      <w:proofErr w:type="spellEnd"/>
      <w:r w:rsidRPr="00224C25">
        <w:rPr>
          <w:color w:val="000000" w:themeColor="text1"/>
          <w:kern w:val="24"/>
          <w:lang w:val="en-US"/>
        </w:rPr>
        <w:t xml:space="preserve"> thick paraffin sections were then stained with </w:t>
      </w:r>
      <w:r w:rsidRPr="00224C25">
        <w:rPr>
          <w:b/>
          <w:bCs/>
          <w:color w:val="000000" w:themeColor="text1"/>
          <w:kern w:val="24"/>
          <w:lang w:val="en-US"/>
        </w:rPr>
        <w:t>(A)</w:t>
      </w:r>
      <w:r w:rsidRPr="00224C25">
        <w:rPr>
          <w:color w:val="000000" w:themeColor="text1"/>
          <w:kern w:val="24"/>
          <w:lang w:val="en-US"/>
        </w:rPr>
        <w:t xml:space="preserve"> CD11b (green), and DAPI (blue). </w:t>
      </w:r>
      <w:r w:rsidRPr="00224C25">
        <w:rPr>
          <w:b/>
          <w:bCs/>
          <w:color w:val="000000" w:themeColor="text1"/>
          <w:kern w:val="24"/>
          <w:lang w:val="en-US"/>
        </w:rPr>
        <w:t xml:space="preserve">(B) </w:t>
      </w:r>
      <w:r w:rsidRPr="00224C25">
        <w:rPr>
          <w:color w:val="000000" w:themeColor="text1"/>
          <w:kern w:val="24"/>
          <w:lang w:val="en-US"/>
        </w:rPr>
        <w:t xml:space="preserve">H&amp;E staining showing the thickness of the ear tissues after drug injection and the graph showing thickness measured. </w:t>
      </w:r>
    </w:p>
    <w:p w14:paraId="081D4ECC" w14:textId="77777777" w:rsidR="00461F89" w:rsidRPr="00224C25" w:rsidRDefault="00461F89" w:rsidP="00461F89">
      <w:pPr>
        <w:jc w:val="both"/>
        <w:rPr>
          <w:color w:val="000000" w:themeColor="text1"/>
          <w:kern w:val="24"/>
          <w:lang w:val="en-US"/>
        </w:rPr>
      </w:pPr>
    </w:p>
    <w:p w14:paraId="6764A061" w14:textId="77777777" w:rsidR="00461F89" w:rsidRPr="00224C25" w:rsidRDefault="00461F89" w:rsidP="00461F89">
      <w:pPr>
        <w:jc w:val="both"/>
        <w:rPr>
          <w:b/>
          <w:bCs/>
          <w:color w:val="000000" w:themeColor="text1"/>
        </w:rPr>
      </w:pPr>
      <w:r w:rsidRPr="00224C25">
        <w:rPr>
          <w:b/>
          <w:bCs/>
          <w:color w:val="000000" w:themeColor="text1"/>
        </w:rPr>
        <w:t>Supplementary Fig 10. qRT-PCR verification of MRGPRX2 expression and calcium release in immune cells.</w:t>
      </w:r>
    </w:p>
    <w:p w14:paraId="1A6992E4" w14:textId="77777777" w:rsidR="00461F89" w:rsidRPr="00224C25" w:rsidRDefault="00461F89" w:rsidP="00461F89">
      <w:pPr>
        <w:jc w:val="both"/>
        <w:rPr>
          <w:rFonts w:eastAsia="Calibri"/>
          <w:color w:val="000000" w:themeColor="text1"/>
          <w:kern w:val="24"/>
        </w:rPr>
      </w:pPr>
      <w:r w:rsidRPr="00224C25">
        <w:rPr>
          <w:b/>
          <w:bCs/>
          <w:color w:val="000000" w:themeColor="text1"/>
        </w:rPr>
        <w:t xml:space="preserve">(A) (i) </w:t>
      </w:r>
      <w:r w:rsidRPr="00224C25">
        <w:rPr>
          <w:color w:val="000000" w:themeColor="text1"/>
        </w:rPr>
        <w:t xml:space="preserve">Relative expression of MRGPRX2 in immune cells, THP-1 and THP-1 derived macrophage via PMA induction compared to LAD2 cells. </w:t>
      </w:r>
      <w:r w:rsidRPr="00224C25">
        <w:rPr>
          <w:rFonts w:eastAsia="Calibri"/>
          <w:color w:val="000000" w:themeColor="text1"/>
          <w:kern w:val="24"/>
          <w:lang w:val="en-US"/>
        </w:rPr>
        <w:t>All values are means ± SD.</w:t>
      </w:r>
      <w:r w:rsidRPr="00224C25">
        <w:rPr>
          <w:color w:val="000000" w:themeColor="text1"/>
        </w:rPr>
        <w:t xml:space="preserve"> </w:t>
      </w:r>
      <w:r w:rsidRPr="00224C25">
        <w:rPr>
          <w:rFonts w:eastAsia="Calibri"/>
          <w:color w:val="000000" w:themeColor="text1"/>
          <w:kern w:val="24"/>
          <w:lang w:val="en-US"/>
        </w:rPr>
        <w:t>(N=3 and n=3)</w:t>
      </w:r>
      <w:r w:rsidRPr="00224C25">
        <w:rPr>
          <w:b/>
          <w:bCs/>
          <w:color w:val="000000" w:themeColor="text1"/>
        </w:rPr>
        <w:t xml:space="preserve"> (ii)</w:t>
      </w:r>
      <w:r w:rsidRPr="00224C25">
        <w:rPr>
          <w:color w:val="000000" w:themeColor="text1"/>
        </w:rPr>
        <w:t xml:space="preserve"> THP-1 cells and LAD2 cells showing the calcium release upon graded concentrations of P17 and compound 48/80. All </w:t>
      </w:r>
      <w:r w:rsidRPr="00224C25">
        <w:rPr>
          <w:rFonts w:eastAsia="Calibri"/>
          <w:color w:val="000000" w:themeColor="text1"/>
          <w:kern w:val="24"/>
          <w:lang w:val="en-US"/>
        </w:rPr>
        <w:t>values are means ± S.E.M. (N=3 and n=3).</w:t>
      </w:r>
      <w:r w:rsidRPr="00224C25">
        <w:rPr>
          <w:rFonts w:eastAsia="Calibri"/>
          <w:color w:val="000000" w:themeColor="text1"/>
          <w:kern w:val="24"/>
        </w:rPr>
        <w:t xml:space="preserve">****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rFonts w:eastAsia="Calibri"/>
          <w:color w:val="000000" w:themeColor="text1"/>
          <w:kern w:val="24"/>
        </w:rPr>
        <w:t xml:space="preserve"> 0.0001; ***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0.001; 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0.01; 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0.05 and ns p-value </w:t>
      </w:r>
      <w:r w:rsidRPr="00224C25">
        <w:rPr>
          <w:rFonts w:eastAsia="PMingLiU"/>
          <w:color w:val="000000" w:themeColor="text1"/>
          <w:kern w:val="24"/>
        </w:rPr>
        <w:t>&gt; </w:t>
      </w:r>
      <w:r w:rsidRPr="00224C25">
        <w:rPr>
          <w:rFonts w:eastAsia="Calibri"/>
          <w:color w:val="000000" w:themeColor="text1"/>
          <w:kern w:val="24"/>
        </w:rPr>
        <w:t>0.05.</w:t>
      </w:r>
    </w:p>
    <w:p w14:paraId="0CCB968A" w14:textId="1FFBE771" w:rsidR="00354542" w:rsidRDefault="00354542"/>
    <w:p w14:paraId="4AAE44F4" w14:textId="77777777" w:rsidR="00E100D2" w:rsidRPr="0096385A" w:rsidRDefault="00E100D2" w:rsidP="00C3088A">
      <w:pPr>
        <w:jc w:val="both"/>
        <w:rPr>
          <w:b/>
          <w:bCs/>
        </w:rPr>
      </w:pPr>
      <w:r w:rsidRPr="0096385A">
        <w:rPr>
          <w:b/>
          <w:bCs/>
        </w:rPr>
        <w:t>Supplementary Fig 11. Fluorescence intensity quantification of immune cell population infiltration in mice ear.</w:t>
      </w:r>
    </w:p>
    <w:p w14:paraId="1A983393" w14:textId="77777777" w:rsidR="00E100D2" w:rsidRDefault="00E100D2" w:rsidP="00C3088A">
      <w:pPr>
        <w:jc w:val="both"/>
      </w:pPr>
    </w:p>
    <w:p w14:paraId="5BFF51FC" w14:textId="58396A74" w:rsidR="00E100D2" w:rsidRPr="00056746" w:rsidRDefault="00E100D2" w:rsidP="00C3088A">
      <w:pPr>
        <w:jc w:val="both"/>
      </w:pPr>
      <w:r w:rsidRPr="0096385A">
        <w:rPr>
          <w:b/>
          <w:bCs/>
        </w:rPr>
        <w:t>(A)</w:t>
      </w:r>
      <w:r>
        <w:t xml:space="preserve"> Mean fluorescence intensity of </w:t>
      </w:r>
      <w:r w:rsidRPr="0096385A">
        <w:rPr>
          <w:b/>
          <w:bCs/>
        </w:rPr>
        <w:t>(i)</w:t>
      </w:r>
      <w:r>
        <w:t xml:space="preserve"> CD11b</w:t>
      </w:r>
      <w:r w:rsidRPr="00056746">
        <w:rPr>
          <w:vertAlign w:val="superscript"/>
        </w:rPr>
        <w:t>+</w:t>
      </w:r>
      <w:r>
        <w:t xml:space="preserve"> and </w:t>
      </w:r>
      <w:r w:rsidRPr="0096385A">
        <w:rPr>
          <w:b/>
          <w:bCs/>
        </w:rPr>
        <w:t>(ii)</w:t>
      </w:r>
      <w:r>
        <w:t xml:space="preserve"> F4/80</w:t>
      </w:r>
      <w:r w:rsidRPr="00056746">
        <w:rPr>
          <w:vertAlign w:val="superscript"/>
        </w:rPr>
        <w:t>+</w:t>
      </w:r>
      <w:r>
        <w:t xml:space="preserve"> cells in IF were quantified using Zeiss Zen Microscope Software. </w:t>
      </w:r>
      <w:r w:rsidRPr="00224C25">
        <w:rPr>
          <w:color w:val="000000" w:themeColor="text1"/>
        </w:rPr>
        <w:t xml:space="preserve">All </w:t>
      </w:r>
      <w:r w:rsidRPr="00224C25">
        <w:rPr>
          <w:rFonts w:eastAsia="Calibri"/>
          <w:color w:val="000000" w:themeColor="text1"/>
          <w:kern w:val="24"/>
          <w:lang w:val="en-US"/>
        </w:rPr>
        <w:t>values are means ± S</w:t>
      </w:r>
      <w:r w:rsidR="002B44EE">
        <w:rPr>
          <w:rFonts w:eastAsia="Calibri"/>
          <w:color w:val="000000" w:themeColor="text1"/>
          <w:kern w:val="24"/>
          <w:lang w:val="en-US"/>
        </w:rPr>
        <w:t>D</w:t>
      </w:r>
      <w:r w:rsidRPr="00224C25">
        <w:rPr>
          <w:rFonts w:eastAsia="Calibri"/>
          <w:color w:val="000000" w:themeColor="text1"/>
          <w:kern w:val="24"/>
          <w:lang w:val="en-US"/>
        </w:rPr>
        <w:t xml:space="preserve"> (N=</w:t>
      </w:r>
      <w:r>
        <w:rPr>
          <w:rFonts w:eastAsia="Calibri"/>
          <w:color w:val="000000" w:themeColor="text1"/>
          <w:kern w:val="24"/>
          <w:lang w:val="en-US"/>
        </w:rPr>
        <w:t xml:space="preserve">6) </w:t>
      </w:r>
      <w:r w:rsidRPr="00224C25">
        <w:rPr>
          <w:rFonts w:eastAsia="Calibri"/>
          <w:color w:val="000000" w:themeColor="text1"/>
          <w:kern w:val="24"/>
        </w:rPr>
        <w:t xml:space="preserve">****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rFonts w:eastAsia="Calibri"/>
          <w:color w:val="000000" w:themeColor="text1"/>
          <w:kern w:val="24"/>
        </w:rPr>
        <w:t xml:space="preserve"> 0.0001; ***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0.001; **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0.01; * p-value </w:t>
      </w:r>
      <w:r w:rsidRPr="00224C25">
        <w:rPr>
          <w:rFonts w:eastAsia="PMingLiU"/>
          <w:color w:val="000000" w:themeColor="text1"/>
          <w:kern w:val="24"/>
        </w:rPr>
        <w:t>≤</w:t>
      </w:r>
      <w:r w:rsidRPr="00224C25">
        <w:rPr>
          <w:color w:val="000000" w:themeColor="text1"/>
          <w:kern w:val="24"/>
        </w:rPr>
        <w:t xml:space="preserve"> </w:t>
      </w:r>
      <w:r w:rsidRPr="00224C25">
        <w:rPr>
          <w:rFonts w:eastAsia="Calibri"/>
          <w:color w:val="000000" w:themeColor="text1"/>
          <w:kern w:val="24"/>
        </w:rPr>
        <w:t xml:space="preserve">0.05 and ns p-value </w:t>
      </w:r>
      <w:r w:rsidRPr="00224C25">
        <w:rPr>
          <w:rFonts w:eastAsia="PMingLiU"/>
          <w:color w:val="000000" w:themeColor="text1"/>
          <w:kern w:val="24"/>
        </w:rPr>
        <w:t>&gt; </w:t>
      </w:r>
      <w:r w:rsidRPr="00224C25">
        <w:rPr>
          <w:rFonts w:eastAsia="Calibri"/>
          <w:color w:val="000000" w:themeColor="text1"/>
          <w:kern w:val="24"/>
        </w:rPr>
        <w:t>0.05.</w:t>
      </w:r>
    </w:p>
    <w:p w14:paraId="1DEA904B" w14:textId="77777777" w:rsidR="00E100D2" w:rsidRDefault="00E100D2"/>
    <w:sectPr w:rsidR="00E10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89"/>
    <w:rsid w:val="00051113"/>
    <w:rsid w:val="00056746"/>
    <w:rsid w:val="00070743"/>
    <w:rsid w:val="00096A9E"/>
    <w:rsid w:val="000C222D"/>
    <w:rsid w:val="000E6051"/>
    <w:rsid w:val="001927D7"/>
    <w:rsid w:val="001E12C2"/>
    <w:rsid w:val="0025142D"/>
    <w:rsid w:val="00265B03"/>
    <w:rsid w:val="002758FC"/>
    <w:rsid w:val="002B44EE"/>
    <w:rsid w:val="00354542"/>
    <w:rsid w:val="0035703B"/>
    <w:rsid w:val="003D7783"/>
    <w:rsid w:val="00440598"/>
    <w:rsid w:val="00461F89"/>
    <w:rsid w:val="005A0303"/>
    <w:rsid w:val="005C6416"/>
    <w:rsid w:val="007647E7"/>
    <w:rsid w:val="009165AF"/>
    <w:rsid w:val="0096385A"/>
    <w:rsid w:val="00A22C60"/>
    <w:rsid w:val="00A75241"/>
    <w:rsid w:val="00AC3FBD"/>
    <w:rsid w:val="00AF3D4C"/>
    <w:rsid w:val="00B410E8"/>
    <w:rsid w:val="00C075EA"/>
    <w:rsid w:val="00C3088A"/>
    <w:rsid w:val="00C96CB7"/>
    <w:rsid w:val="00CE3A4C"/>
    <w:rsid w:val="00D415DE"/>
    <w:rsid w:val="00D543D2"/>
    <w:rsid w:val="00E100D2"/>
    <w:rsid w:val="00E25ADE"/>
    <w:rsid w:val="00E72F62"/>
    <w:rsid w:val="00EB7356"/>
    <w:rsid w:val="00FA0FFE"/>
    <w:rsid w:val="00FB1EB4"/>
    <w:rsid w:val="00FC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1362ED"/>
  <w15:chartTrackingRefBased/>
  <w15:docId w15:val="{D7FBE5CD-FDDF-6842-83AE-51F84E50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8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h1258159</dc:creator>
  <cp:keywords/>
  <dc:description/>
  <cp:lastModifiedBy>h1258159</cp:lastModifiedBy>
  <cp:revision>9</cp:revision>
  <dcterms:created xsi:type="dcterms:W3CDTF">2021-03-29T10:47:00Z</dcterms:created>
  <dcterms:modified xsi:type="dcterms:W3CDTF">2021-04-27T10:24:00Z</dcterms:modified>
</cp:coreProperties>
</file>