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4489B" w14:textId="77777777" w:rsidR="0024344B" w:rsidRPr="0077315F" w:rsidRDefault="0024344B" w:rsidP="0024344B">
      <w:pPr>
        <w:spacing w:line="360" w:lineRule="auto"/>
        <w:jc w:val="left"/>
        <w:rPr>
          <w:b/>
          <w:color w:val="FF0000"/>
          <w:sz w:val="24"/>
          <w:szCs w:val="24"/>
        </w:rPr>
      </w:pPr>
      <w:bookmarkStart w:id="0" w:name="_Hlk130291734"/>
      <w:r w:rsidRPr="0077315F">
        <w:rPr>
          <w:rFonts w:ascii="Arial" w:hAnsi="Arial" w:cs="Arial"/>
          <w:b/>
          <w:sz w:val="24"/>
          <w:szCs w:val="24"/>
        </w:rPr>
        <w:t xml:space="preserve">Microglia are </w:t>
      </w:r>
      <w:r w:rsidRPr="0077315F">
        <w:rPr>
          <w:rFonts w:ascii="Arial" w:hAnsi="Arial" w:cs="Arial" w:hint="eastAsia"/>
          <w:b/>
          <w:sz w:val="24"/>
          <w:szCs w:val="24"/>
        </w:rPr>
        <w:t xml:space="preserve">involved in regulating </w:t>
      </w:r>
      <w:r w:rsidRPr="0077315F">
        <w:rPr>
          <w:rFonts w:ascii="Arial" w:hAnsi="Arial" w:cs="Arial"/>
          <w:b/>
          <w:sz w:val="24"/>
          <w:szCs w:val="24"/>
        </w:rPr>
        <w:t xml:space="preserve">histamine dependent and non-dependent itch transmissions with distinguished signal </w:t>
      </w:r>
      <w:proofErr w:type="gramStart"/>
      <w:r w:rsidRPr="0077315F">
        <w:rPr>
          <w:rFonts w:ascii="Arial" w:hAnsi="Arial" w:cs="Arial"/>
          <w:b/>
          <w:sz w:val="24"/>
          <w:szCs w:val="24"/>
        </w:rPr>
        <w:t>pathways</w:t>
      </w:r>
      <w:proofErr w:type="gramEnd"/>
    </w:p>
    <w:p w14:paraId="2D82278B" w14:textId="77777777" w:rsidR="0024344B" w:rsidRPr="0077315F" w:rsidRDefault="0024344B" w:rsidP="0024344B">
      <w:pPr>
        <w:spacing w:beforeLines="50" w:before="156" w:afterLines="50" w:after="156"/>
        <w:rPr>
          <w:rFonts w:ascii="Arial" w:hAnsi="Arial" w:cs="Arial"/>
          <w:bCs/>
          <w:sz w:val="24"/>
          <w:szCs w:val="24"/>
        </w:rPr>
      </w:pPr>
      <w:r w:rsidRPr="0077315F">
        <w:rPr>
          <w:rFonts w:ascii="Arial" w:hAnsi="Arial" w:cs="Arial" w:hint="eastAsia"/>
          <w:bCs/>
          <w:sz w:val="24"/>
          <w:szCs w:val="24"/>
        </w:rPr>
        <w:t>Y</w:t>
      </w:r>
      <w:r w:rsidRPr="0077315F">
        <w:rPr>
          <w:rFonts w:ascii="Arial" w:hAnsi="Arial" w:cs="Arial"/>
          <w:bCs/>
          <w:sz w:val="24"/>
          <w:szCs w:val="24"/>
        </w:rPr>
        <w:t>u</w:t>
      </w:r>
      <w:r w:rsidRPr="0077315F">
        <w:rPr>
          <w:rFonts w:ascii="Arial" w:hAnsi="Arial" w:cs="Arial" w:hint="eastAsia"/>
          <w:bCs/>
          <w:sz w:val="24"/>
          <w:szCs w:val="24"/>
        </w:rPr>
        <w:t>x</w:t>
      </w:r>
      <w:r w:rsidRPr="0077315F">
        <w:rPr>
          <w:rFonts w:ascii="Arial" w:hAnsi="Arial" w:cs="Arial"/>
          <w:bCs/>
          <w:sz w:val="24"/>
          <w:szCs w:val="24"/>
        </w:rPr>
        <w:t>iu Yang</w:t>
      </w:r>
      <w:r w:rsidRPr="0077315F">
        <w:rPr>
          <w:rFonts w:ascii="Arial" w:hAnsi="Arial" w:cs="Arial"/>
          <w:bCs/>
          <w:sz w:val="24"/>
          <w:szCs w:val="24"/>
          <w:vertAlign w:val="superscript"/>
        </w:rPr>
        <w:t>1, 2</w:t>
      </w:r>
      <w:r w:rsidRPr="0077315F">
        <w:rPr>
          <w:rFonts w:ascii="Arial" w:hAnsi="Arial" w:cs="Arial"/>
          <w:bCs/>
          <w:sz w:val="24"/>
          <w:szCs w:val="24"/>
        </w:rPr>
        <w:t>, Bin Mou</w:t>
      </w:r>
      <w:r w:rsidRPr="0077315F">
        <w:rPr>
          <w:rFonts w:ascii="Arial" w:hAnsi="Arial" w:cs="Arial"/>
          <w:bCs/>
          <w:sz w:val="24"/>
          <w:szCs w:val="24"/>
          <w:vertAlign w:val="superscript"/>
        </w:rPr>
        <w:t>1, 2</w:t>
      </w:r>
      <w:r w:rsidRPr="0077315F">
        <w:rPr>
          <w:rFonts w:ascii="Arial" w:hAnsi="Arial" w:cs="Arial"/>
          <w:bCs/>
          <w:sz w:val="24"/>
          <w:szCs w:val="24"/>
        </w:rPr>
        <w:t>, Qi-Ruo Zhang</w:t>
      </w:r>
      <w:r w:rsidRPr="0077315F">
        <w:rPr>
          <w:rFonts w:ascii="Arial" w:hAnsi="Arial" w:cs="Arial"/>
          <w:bCs/>
          <w:sz w:val="24"/>
          <w:szCs w:val="24"/>
          <w:vertAlign w:val="superscript"/>
        </w:rPr>
        <w:t>2</w:t>
      </w:r>
      <w:r w:rsidRPr="0077315F">
        <w:rPr>
          <w:rFonts w:ascii="Arial" w:hAnsi="Arial" w:cs="Arial"/>
          <w:bCs/>
          <w:sz w:val="24"/>
          <w:szCs w:val="24"/>
        </w:rPr>
        <w:t>, Hong-Xue Zhao</w:t>
      </w:r>
      <w:r w:rsidRPr="0077315F">
        <w:rPr>
          <w:rFonts w:ascii="Arial" w:hAnsi="Arial" w:cs="Arial"/>
          <w:bCs/>
          <w:sz w:val="24"/>
          <w:szCs w:val="24"/>
          <w:vertAlign w:val="superscript"/>
        </w:rPr>
        <w:t>1, 2</w:t>
      </w:r>
      <w:r w:rsidRPr="0077315F">
        <w:rPr>
          <w:rFonts w:ascii="Arial" w:hAnsi="Arial" w:cs="Arial"/>
          <w:bCs/>
          <w:sz w:val="24"/>
          <w:szCs w:val="24"/>
        </w:rPr>
        <w:t>, Jian-Yun Zhang</w:t>
      </w:r>
      <w:r w:rsidRPr="0077315F">
        <w:rPr>
          <w:rFonts w:ascii="Arial" w:hAnsi="Arial" w:cs="Arial"/>
          <w:bCs/>
          <w:sz w:val="24"/>
          <w:szCs w:val="24"/>
          <w:vertAlign w:val="superscript"/>
        </w:rPr>
        <w:t>2</w:t>
      </w:r>
      <w:r w:rsidRPr="0077315F">
        <w:rPr>
          <w:rFonts w:ascii="Arial" w:hAnsi="Arial" w:cs="Arial"/>
          <w:bCs/>
          <w:sz w:val="24"/>
          <w:szCs w:val="24"/>
        </w:rPr>
        <w:t>, Xiao Yun</w:t>
      </w:r>
      <w:r w:rsidRPr="0077315F">
        <w:rPr>
          <w:rFonts w:ascii="Arial" w:hAnsi="Arial" w:cs="Arial"/>
          <w:bCs/>
          <w:sz w:val="24"/>
          <w:szCs w:val="24"/>
          <w:vertAlign w:val="superscript"/>
        </w:rPr>
        <w:t>2</w:t>
      </w:r>
      <w:r w:rsidRPr="0077315F">
        <w:rPr>
          <w:rFonts w:ascii="Arial" w:hAnsi="Arial" w:cs="Arial"/>
          <w:bCs/>
          <w:sz w:val="24"/>
          <w:szCs w:val="24"/>
        </w:rPr>
        <w:t>, Ming-Tao Xiong</w:t>
      </w:r>
      <w:r w:rsidRPr="0077315F">
        <w:rPr>
          <w:rFonts w:ascii="Arial" w:hAnsi="Arial" w:cs="Arial"/>
          <w:bCs/>
          <w:sz w:val="24"/>
          <w:szCs w:val="24"/>
          <w:vertAlign w:val="superscript"/>
        </w:rPr>
        <w:t>2</w:t>
      </w:r>
      <w:r w:rsidRPr="0077315F">
        <w:rPr>
          <w:rFonts w:ascii="Arial" w:hAnsi="Arial" w:cs="Arial"/>
          <w:bCs/>
          <w:sz w:val="24"/>
          <w:szCs w:val="24"/>
        </w:rPr>
        <w:t>, Ying Liu</w:t>
      </w:r>
      <w:r w:rsidRPr="0077315F">
        <w:rPr>
          <w:rFonts w:ascii="Arial" w:hAnsi="Arial" w:cs="Arial"/>
          <w:bCs/>
          <w:sz w:val="24"/>
          <w:szCs w:val="24"/>
          <w:vertAlign w:val="superscript"/>
        </w:rPr>
        <w:t>2</w:t>
      </w:r>
      <w:r w:rsidRPr="0077315F">
        <w:rPr>
          <w:rFonts w:ascii="Arial" w:hAnsi="Arial" w:cs="Arial"/>
          <w:bCs/>
          <w:sz w:val="24"/>
          <w:szCs w:val="24"/>
        </w:rPr>
        <w:t>, Yong U. Liu</w:t>
      </w:r>
      <w:r w:rsidRPr="0077315F">
        <w:rPr>
          <w:rFonts w:ascii="Arial" w:hAnsi="Arial" w:cs="Arial"/>
          <w:bCs/>
          <w:sz w:val="24"/>
          <w:szCs w:val="24"/>
          <w:vertAlign w:val="superscript"/>
        </w:rPr>
        <w:t>4</w:t>
      </w:r>
      <w:r w:rsidRPr="0077315F">
        <w:rPr>
          <w:rFonts w:ascii="Arial" w:hAnsi="Arial" w:cs="Arial" w:hint="eastAsia"/>
          <w:bCs/>
          <w:sz w:val="24"/>
          <w:szCs w:val="24"/>
        </w:rPr>
        <w:t>,</w:t>
      </w:r>
      <w:r w:rsidRPr="0077315F">
        <w:rPr>
          <w:rFonts w:ascii="Arial" w:hAnsi="Arial" w:cs="Arial"/>
          <w:bCs/>
          <w:sz w:val="24"/>
          <w:szCs w:val="24"/>
        </w:rPr>
        <w:t xml:space="preserve"> Haili Pan</w:t>
      </w:r>
      <w:r w:rsidRPr="0077315F">
        <w:rPr>
          <w:rFonts w:ascii="Arial" w:hAnsi="Arial" w:cs="Arial"/>
          <w:bCs/>
          <w:sz w:val="24"/>
          <w:szCs w:val="24"/>
          <w:vertAlign w:val="superscript"/>
        </w:rPr>
        <w:t>2</w:t>
      </w:r>
      <w:r w:rsidRPr="0077315F">
        <w:rPr>
          <w:rFonts w:ascii="Arial" w:hAnsi="Arial" w:cs="Arial"/>
          <w:bCs/>
          <w:sz w:val="24"/>
          <w:szCs w:val="24"/>
        </w:rPr>
        <w:t xml:space="preserve">, </w:t>
      </w:r>
      <w:r w:rsidRPr="0077315F">
        <w:rPr>
          <w:rFonts w:ascii="Arial" w:hAnsi="Arial" w:cs="Arial" w:hint="eastAsia"/>
          <w:bCs/>
          <w:sz w:val="24"/>
          <w:szCs w:val="24"/>
        </w:rPr>
        <w:t>Chao</w:t>
      </w:r>
      <w:r w:rsidRPr="0077315F">
        <w:rPr>
          <w:rFonts w:ascii="Arial" w:hAnsi="Arial" w:cs="Arial"/>
          <w:bCs/>
          <w:sz w:val="24"/>
          <w:szCs w:val="24"/>
        </w:rPr>
        <w:t>-Lin Ma</w:t>
      </w:r>
      <w:r w:rsidRPr="0077315F">
        <w:rPr>
          <w:rFonts w:ascii="Arial" w:hAnsi="Arial" w:cs="Arial"/>
          <w:bCs/>
          <w:sz w:val="24"/>
          <w:szCs w:val="24"/>
          <w:vertAlign w:val="superscript"/>
        </w:rPr>
        <w:t>2</w:t>
      </w:r>
      <w:r w:rsidRPr="0077315F">
        <w:rPr>
          <w:rFonts w:ascii="Arial" w:hAnsi="Arial" w:cs="Arial"/>
          <w:bCs/>
          <w:sz w:val="24"/>
          <w:szCs w:val="24"/>
        </w:rPr>
        <w:t>, Bao-Ming Li</w:t>
      </w:r>
      <w:r w:rsidRPr="0077315F">
        <w:rPr>
          <w:rFonts w:ascii="Arial" w:hAnsi="Arial" w:cs="Arial"/>
          <w:bCs/>
          <w:sz w:val="24"/>
          <w:szCs w:val="24"/>
          <w:vertAlign w:val="superscript"/>
        </w:rPr>
        <w:t>2, 3</w:t>
      </w:r>
      <w:r w:rsidRPr="0077315F">
        <w:rPr>
          <w:rFonts w:ascii="Arial" w:hAnsi="Arial" w:cs="Arial"/>
          <w:bCs/>
          <w:sz w:val="24"/>
          <w:szCs w:val="24"/>
        </w:rPr>
        <w:t>, Jiyun Peng</w:t>
      </w:r>
      <w:r w:rsidRPr="0077315F">
        <w:rPr>
          <w:rFonts w:ascii="Arial" w:hAnsi="Arial" w:cs="Arial"/>
          <w:bCs/>
          <w:sz w:val="24"/>
          <w:szCs w:val="24"/>
          <w:vertAlign w:val="superscript"/>
        </w:rPr>
        <w:t>1, 2</w:t>
      </w:r>
      <w:r w:rsidRPr="0077315F">
        <w:rPr>
          <w:rFonts w:ascii="Arial" w:hAnsi="Arial" w:cs="Arial"/>
          <w:bCs/>
          <w:sz w:val="24"/>
          <w:szCs w:val="24"/>
        </w:rPr>
        <w:t>*</w:t>
      </w:r>
    </w:p>
    <w:p w14:paraId="7533D30A" w14:textId="77777777" w:rsidR="0024344B" w:rsidRPr="00E77A7C" w:rsidRDefault="0024344B" w:rsidP="0024344B">
      <w:pPr>
        <w:spacing w:line="360" w:lineRule="auto"/>
        <w:rPr>
          <w:rFonts w:ascii="Arial" w:hAnsi="Arial" w:cs="Arial"/>
          <w:sz w:val="24"/>
          <w:szCs w:val="24"/>
          <w:vertAlign w:val="superscript"/>
        </w:rPr>
      </w:pPr>
    </w:p>
    <w:p w14:paraId="603414C7" w14:textId="77777777" w:rsidR="0024344B" w:rsidRDefault="0024344B" w:rsidP="0024344B">
      <w:pPr>
        <w:spacing w:line="360" w:lineRule="auto"/>
        <w:rPr>
          <w:rFonts w:ascii="Arial" w:hAnsi="Arial" w:cs="Arial"/>
          <w:sz w:val="24"/>
          <w:szCs w:val="24"/>
        </w:rPr>
      </w:pPr>
      <w:r w:rsidRPr="008A2362">
        <w:rPr>
          <w:rFonts w:ascii="Arial" w:hAnsi="Arial" w:cs="Arial"/>
          <w:sz w:val="24"/>
          <w:szCs w:val="24"/>
          <w:vertAlign w:val="superscript"/>
        </w:rPr>
        <w:t>1</w:t>
      </w:r>
      <w:r w:rsidRPr="00CF0B3D">
        <w:rPr>
          <w:rFonts w:ascii="Arial" w:hAnsi="Arial" w:cs="Arial"/>
          <w:sz w:val="24"/>
          <w:szCs w:val="24"/>
        </w:rPr>
        <w:t xml:space="preserve">School of </w:t>
      </w:r>
      <w:r>
        <w:rPr>
          <w:rFonts w:ascii="Arial" w:hAnsi="Arial" w:cs="Arial"/>
          <w:sz w:val="24"/>
          <w:szCs w:val="24"/>
        </w:rPr>
        <w:t>Basic Medical Sciences</w:t>
      </w:r>
      <w:r w:rsidRPr="008A2362">
        <w:rPr>
          <w:rFonts w:ascii="Arial" w:hAnsi="Arial" w:cs="Arial"/>
          <w:sz w:val="24"/>
          <w:szCs w:val="24"/>
        </w:rPr>
        <w:t>, Nanchang University, Nanchang</w:t>
      </w:r>
      <w:r>
        <w:rPr>
          <w:rFonts w:ascii="Arial" w:hAnsi="Arial" w:cs="Arial"/>
          <w:sz w:val="24"/>
          <w:szCs w:val="24"/>
        </w:rPr>
        <w:t>,</w:t>
      </w:r>
      <w:r w:rsidRPr="008A2362">
        <w:rPr>
          <w:rFonts w:ascii="Arial" w:hAnsi="Arial" w:cs="Arial"/>
          <w:sz w:val="24"/>
          <w:szCs w:val="24"/>
        </w:rPr>
        <w:t xml:space="preserve"> 330031, China </w:t>
      </w:r>
    </w:p>
    <w:p w14:paraId="490DF0BB" w14:textId="77777777" w:rsidR="0024344B" w:rsidRPr="002F7B6D" w:rsidRDefault="0024344B" w:rsidP="0024344B">
      <w:pPr>
        <w:spacing w:line="360" w:lineRule="auto"/>
        <w:rPr>
          <w:rFonts w:ascii="Arial" w:hAnsi="Arial" w:cs="Arial"/>
          <w:sz w:val="24"/>
          <w:szCs w:val="24"/>
        </w:rPr>
      </w:pPr>
      <w:r w:rsidRPr="002F7B6D">
        <w:rPr>
          <w:rFonts w:ascii="Arial" w:hAnsi="Arial" w:cs="Arial"/>
          <w:sz w:val="24"/>
          <w:szCs w:val="24"/>
          <w:vertAlign w:val="superscript"/>
        </w:rPr>
        <w:t>2</w:t>
      </w:r>
      <w:r w:rsidRPr="008A2362">
        <w:rPr>
          <w:rFonts w:ascii="Arial" w:hAnsi="Arial" w:cs="Arial"/>
          <w:sz w:val="24"/>
          <w:szCs w:val="24"/>
        </w:rPr>
        <w:t>Institute of Life Science</w:t>
      </w:r>
      <w:r>
        <w:rPr>
          <w:rFonts w:ascii="Arial" w:hAnsi="Arial" w:cs="Arial"/>
          <w:sz w:val="24"/>
          <w:szCs w:val="24"/>
        </w:rPr>
        <w:t xml:space="preserve">, </w:t>
      </w:r>
      <w:r w:rsidRPr="008A2362">
        <w:rPr>
          <w:rFonts w:ascii="Arial" w:hAnsi="Arial" w:cs="Arial"/>
          <w:sz w:val="24"/>
          <w:szCs w:val="24"/>
        </w:rPr>
        <w:t>Nanchang University, Nanchang</w:t>
      </w:r>
      <w:r>
        <w:rPr>
          <w:rFonts w:ascii="Arial" w:hAnsi="Arial" w:cs="Arial"/>
          <w:sz w:val="24"/>
          <w:szCs w:val="24"/>
        </w:rPr>
        <w:t>,</w:t>
      </w:r>
      <w:r w:rsidRPr="008A2362">
        <w:rPr>
          <w:rFonts w:ascii="Arial" w:hAnsi="Arial" w:cs="Arial"/>
          <w:sz w:val="24"/>
          <w:szCs w:val="24"/>
        </w:rPr>
        <w:t xml:space="preserve"> 330031, China</w:t>
      </w:r>
    </w:p>
    <w:p w14:paraId="36D918FD" w14:textId="77777777" w:rsidR="0024344B" w:rsidRPr="002E1ECD" w:rsidRDefault="0024344B" w:rsidP="0024344B">
      <w:pPr>
        <w:spacing w:beforeLines="50" w:before="156" w:afterLines="50" w:after="156"/>
        <w:rPr>
          <w:rFonts w:ascii="Arial" w:hAnsi="Arial" w:cs="Arial"/>
          <w:bCs/>
          <w:sz w:val="24"/>
          <w:szCs w:val="24"/>
        </w:rPr>
      </w:pPr>
      <w:r w:rsidRPr="002E1ECD">
        <w:rPr>
          <w:rFonts w:ascii="Arial" w:hAnsi="Arial" w:cs="Arial"/>
          <w:sz w:val="24"/>
          <w:szCs w:val="24"/>
          <w:vertAlign w:val="superscript"/>
        </w:rPr>
        <w:t>3</w:t>
      </w:r>
      <w:r w:rsidRPr="002E1ECD">
        <w:rPr>
          <w:rFonts w:ascii="Arial" w:hAnsi="Arial" w:cs="Arial" w:hint="eastAsia"/>
          <w:bCs/>
          <w:sz w:val="24"/>
          <w:szCs w:val="24"/>
        </w:rPr>
        <w:t>Department of Physiology and Institute of Brain Science, School of Basic Medical Sciences, Hangzhou Normal University, Hangzhou</w:t>
      </w:r>
      <w:r>
        <w:rPr>
          <w:rFonts w:ascii="Arial" w:hAnsi="Arial" w:cs="Arial"/>
          <w:bCs/>
          <w:sz w:val="24"/>
          <w:szCs w:val="24"/>
        </w:rPr>
        <w:t>,</w:t>
      </w:r>
      <w:r w:rsidRPr="002E1ECD">
        <w:rPr>
          <w:rFonts w:ascii="Arial" w:hAnsi="Arial" w:cs="Arial" w:hint="eastAsia"/>
          <w:bCs/>
          <w:sz w:val="24"/>
          <w:szCs w:val="24"/>
        </w:rPr>
        <w:t xml:space="preserve"> 311121</w:t>
      </w:r>
      <w:r>
        <w:rPr>
          <w:rFonts w:ascii="Arial" w:hAnsi="Arial" w:cs="Arial"/>
          <w:bCs/>
          <w:sz w:val="24"/>
          <w:szCs w:val="24"/>
        </w:rPr>
        <w:t xml:space="preserve">, </w:t>
      </w:r>
      <w:r w:rsidRPr="002E1ECD">
        <w:rPr>
          <w:rFonts w:ascii="Arial" w:hAnsi="Arial" w:cs="Arial" w:hint="eastAsia"/>
          <w:bCs/>
          <w:sz w:val="24"/>
          <w:szCs w:val="24"/>
        </w:rPr>
        <w:t>China</w:t>
      </w:r>
    </w:p>
    <w:p w14:paraId="41A080B2" w14:textId="77777777" w:rsidR="0024344B" w:rsidRDefault="0024344B" w:rsidP="0024344B">
      <w:pPr>
        <w:spacing w:line="360" w:lineRule="auto"/>
        <w:rPr>
          <w:rFonts w:ascii="Arial" w:hAnsi="Arial" w:cs="Arial"/>
          <w:sz w:val="24"/>
          <w:szCs w:val="24"/>
        </w:rPr>
      </w:pPr>
      <w:r w:rsidRPr="008E114B">
        <w:rPr>
          <w:rFonts w:ascii="Arial" w:hAnsi="Arial" w:cs="Arial"/>
          <w:sz w:val="24"/>
          <w:szCs w:val="24"/>
          <w:vertAlign w:val="superscript"/>
        </w:rPr>
        <w:t>4</w:t>
      </w:r>
      <w:r w:rsidRPr="008E114B">
        <w:rPr>
          <w:rFonts w:ascii="Arial" w:hAnsi="Arial" w:cs="Arial"/>
          <w:sz w:val="24"/>
          <w:szCs w:val="24"/>
        </w:rPr>
        <w:t>Laboratory for Neuroimmunology in Health and Disease, Guangzhou First People's Hospital, School of Medicine, South China University of Technology, Guangzhou, 510180</w:t>
      </w:r>
      <w:r>
        <w:rPr>
          <w:rFonts w:ascii="Arial" w:hAnsi="Arial" w:cs="Arial"/>
          <w:sz w:val="24"/>
          <w:szCs w:val="24"/>
        </w:rPr>
        <w:t>,</w:t>
      </w:r>
      <w:r w:rsidRPr="008E114B">
        <w:rPr>
          <w:rFonts w:ascii="Arial" w:hAnsi="Arial" w:cs="Arial"/>
          <w:sz w:val="24"/>
          <w:szCs w:val="24"/>
        </w:rPr>
        <w:t xml:space="preserve"> China</w:t>
      </w:r>
    </w:p>
    <w:bookmarkEnd w:id="0"/>
    <w:p w14:paraId="4575FDE3" w14:textId="77777777" w:rsidR="0024344B" w:rsidRDefault="0024344B" w:rsidP="0024344B">
      <w:pPr>
        <w:autoSpaceDE w:val="0"/>
        <w:autoSpaceDN w:val="0"/>
        <w:adjustRightInd w:val="0"/>
        <w:spacing w:line="360" w:lineRule="auto"/>
        <w:rPr>
          <w:rFonts w:ascii="Arial" w:eastAsia="Calibri" w:hAnsi="Arial" w:cs="Arial"/>
          <w:b/>
          <w:bCs/>
        </w:rPr>
      </w:pPr>
    </w:p>
    <w:p w14:paraId="5A99C368" w14:textId="77777777" w:rsidR="0024344B" w:rsidRDefault="0024344B" w:rsidP="0024344B">
      <w:pPr>
        <w:spacing w:line="360" w:lineRule="auto"/>
        <w:rPr>
          <w:rFonts w:ascii="Arial" w:hAnsi="Arial" w:cs="Arial"/>
          <w:sz w:val="22"/>
        </w:rPr>
      </w:pPr>
    </w:p>
    <w:p w14:paraId="57EA53BB" w14:textId="77777777" w:rsidR="0024344B" w:rsidRPr="0077315F" w:rsidRDefault="0024344B" w:rsidP="0024344B">
      <w:pPr>
        <w:spacing w:line="360" w:lineRule="auto"/>
        <w:rPr>
          <w:rFonts w:ascii="Arial" w:hAnsi="Arial" w:cs="Arial"/>
          <w:sz w:val="22"/>
        </w:rPr>
      </w:pPr>
      <w:r w:rsidRPr="0077315F">
        <w:rPr>
          <w:rFonts w:ascii="Arial" w:hAnsi="Arial" w:cs="Arial"/>
          <w:sz w:val="22"/>
        </w:rPr>
        <w:t>*Correspondence:</w:t>
      </w:r>
    </w:p>
    <w:p w14:paraId="539B1CCD" w14:textId="77777777" w:rsidR="0024344B" w:rsidRPr="0077315F" w:rsidRDefault="0024344B" w:rsidP="0024344B">
      <w:pPr>
        <w:spacing w:line="360" w:lineRule="auto"/>
        <w:rPr>
          <w:rFonts w:ascii="Arial" w:hAnsi="Arial" w:cs="Arial"/>
          <w:sz w:val="22"/>
        </w:rPr>
      </w:pPr>
      <w:r w:rsidRPr="0077315F">
        <w:rPr>
          <w:rFonts w:ascii="Arial" w:hAnsi="Arial" w:cs="Arial"/>
          <w:sz w:val="22"/>
        </w:rPr>
        <w:t>Dr. Jiyun Peng</w:t>
      </w:r>
    </w:p>
    <w:p w14:paraId="00ACC595" w14:textId="77777777" w:rsidR="0024344B" w:rsidRPr="0077315F" w:rsidRDefault="0024344B" w:rsidP="0024344B">
      <w:pPr>
        <w:spacing w:line="360" w:lineRule="auto"/>
        <w:rPr>
          <w:rFonts w:ascii="Arial" w:hAnsi="Arial" w:cs="Arial"/>
          <w:sz w:val="22"/>
        </w:rPr>
      </w:pPr>
      <w:bookmarkStart w:id="1" w:name="_Hlk46938725"/>
      <w:r w:rsidRPr="0077315F">
        <w:rPr>
          <w:rFonts w:ascii="Arial" w:hAnsi="Arial" w:cs="Arial"/>
          <w:sz w:val="22"/>
        </w:rPr>
        <w:t>Center for Neuropsychiatric Disorders, Institute of Life Science</w:t>
      </w:r>
    </w:p>
    <w:p w14:paraId="7F24A830" w14:textId="77777777" w:rsidR="0024344B" w:rsidRPr="0077315F" w:rsidRDefault="0024344B" w:rsidP="0024344B">
      <w:pPr>
        <w:spacing w:line="360" w:lineRule="auto"/>
        <w:rPr>
          <w:rFonts w:ascii="Arial" w:hAnsi="Arial" w:cs="Arial"/>
          <w:sz w:val="22"/>
        </w:rPr>
      </w:pPr>
      <w:r w:rsidRPr="0077315F">
        <w:rPr>
          <w:rFonts w:ascii="Arial" w:hAnsi="Arial" w:cs="Arial"/>
          <w:sz w:val="22"/>
        </w:rPr>
        <w:t>Nanchang University</w:t>
      </w:r>
    </w:p>
    <w:p w14:paraId="3C552915" w14:textId="77777777" w:rsidR="0024344B" w:rsidRPr="0077315F" w:rsidRDefault="0024344B" w:rsidP="0024344B">
      <w:pPr>
        <w:spacing w:line="360" w:lineRule="auto"/>
        <w:rPr>
          <w:rFonts w:ascii="Arial" w:hAnsi="Arial" w:cs="Arial"/>
          <w:sz w:val="22"/>
        </w:rPr>
      </w:pPr>
      <w:r w:rsidRPr="0077315F">
        <w:rPr>
          <w:rFonts w:ascii="Arial" w:hAnsi="Arial" w:cs="Arial"/>
          <w:sz w:val="22"/>
        </w:rPr>
        <w:t>999 Xuefu Road, Honggutan New district,</w:t>
      </w:r>
    </w:p>
    <w:p w14:paraId="2A15E25F" w14:textId="77777777" w:rsidR="0024344B" w:rsidRPr="0077315F" w:rsidRDefault="0024344B" w:rsidP="0024344B">
      <w:pPr>
        <w:spacing w:line="360" w:lineRule="auto"/>
        <w:rPr>
          <w:rFonts w:ascii="Arial" w:hAnsi="Arial" w:cs="Arial"/>
          <w:sz w:val="22"/>
        </w:rPr>
      </w:pPr>
      <w:r w:rsidRPr="0077315F">
        <w:rPr>
          <w:rFonts w:ascii="Arial" w:hAnsi="Arial" w:cs="Arial"/>
          <w:sz w:val="22"/>
        </w:rPr>
        <w:t>Nanchang, Jiangxi Province, 330031</w:t>
      </w:r>
    </w:p>
    <w:p w14:paraId="249A24E4" w14:textId="77777777" w:rsidR="0024344B" w:rsidRPr="0077315F" w:rsidRDefault="0024344B" w:rsidP="0024344B">
      <w:pPr>
        <w:spacing w:line="360" w:lineRule="auto"/>
        <w:rPr>
          <w:rFonts w:ascii="Arial" w:hAnsi="Arial" w:cs="Arial"/>
          <w:sz w:val="22"/>
        </w:rPr>
      </w:pPr>
      <w:r w:rsidRPr="0077315F">
        <w:rPr>
          <w:rFonts w:ascii="Arial" w:hAnsi="Arial" w:cs="Arial" w:hint="eastAsia"/>
          <w:sz w:val="22"/>
        </w:rPr>
        <w:t>C</w:t>
      </w:r>
      <w:r w:rsidRPr="0077315F">
        <w:rPr>
          <w:rFonts w:ascii="Arial" w:hAnsi="Arial" w:cs="Arial"/>
          <w:sz w:val="22"/>
        </w:rPr>
        <w:t>hina</w:t>
      </w:r>
    </w:p>
    <w:p w14:paraId="4885F227" w14:textId="77777777" w:rsidR="0024344B" w:rsidRPr="0077315F" w:rsidRDefault="0024344B" w:rsidP="0024344B">
      <w:pPr>
        <w:spacing w:line="360" w:lineRule="auto"/>
        <w:rPr>
          <w:rFonts w:ascii="Arial" w:hAnsi="Arial" w:cs="Arial"/>
          <w:sz w:val="22"/>
        </w:rPr>
      </w:pPr>
      <w:r w:rsidRPr="0077315F">
        <w:rPr>
          <w:rFonts w:ascii="Arial" w:hAnsi="Arial" w:cs="Arial"/>
          <w:sz w:val="22"/>
        </w:rPr>
        <w:t>Tel: +86-791-8382-7283</w:t>
      </w:r>
    </w:p>
    <w:p w14:paraId="55A7AC44" w14:textId="77777777" w:rsidR="0024344B" w:rsidRPr="0077315F" w:rsidRDefault="0024344B" w:rsidP="0024344B">
      <w:pPr>
        <w:spacing w:line="360" w:lineRule="auto"/>
        <w:rPr>
          <w:rFonts w:ascii="Arial" w:hAnsi="Arial" w:cs="Arial"/>
          <w:sz w:val="22"/>
        </w:rPr>
      </w:pPr>
      <w:r w:rsidRPr="0077315F">
        <w:rPr>
          <w:rFonts w:ascii="Arial" w:hAnsi="Arial" w:cs="Arial"/>
          <w:sz w:val="22"/>
        </w:rPr>
        <w:t>E-MAIL: pengjy@ncu.edu.cn</w:t>
      </w:r>
      <w:bookmarkEnd w:id="1"/>
    </w:p>
    <w:p w14:paraId="1C888E56" w14:textId="77777777" w:rsidR="0024344B" w:rsidRDefault="0024344B" w:rsidP="0024344B">
      <w:pPr>
        <w:spacing w:before="8" w:line="263" w:lineRule="exact"/>
        <w:ind w:right="-567"/>
        <w:jc w:val="left"/>
      </w:pPr>
    </w:p>
    <w:p w14:paraId="3DC946B8" w14:textId="3704966D" w:rsidR="0024344B" w:rsidRDefault="0024344B" w:rsidP="0024344B">
      <w:pPr>
        <w:spacing w:before="8" w:line="263" w:lineRule="exact"/>
        <w:ind w:right="-567"/>
        <w:jc w:val="left"/>
        <w:rPr>
          <w:rFonts w:ascii="Arial" w:eastAsia="Arial" w:hAnsi="Arial" w:cs="Arial"/>
          <w:b/>
          <w:bCs/>
          <w:color w:val="000000"/>
          <w:w w:val="97"/>
          <w:sz w:val="28"/>
          <w:szCs w:val="28"/>
        </w:rPr>
      </w:pPr>
      <w:r>
        <w:rPr>
          <w:rFonts w:ascii="Arial" w:eastAsia="Arial" w:hAnsi="Arial" w:cs="Arial"/>
          <w:b/>
          <w:bCs/>
          <w:color w:val="000000"/>
          <w:w w:val="97"/>
          <w:sz w:val="28"/>
          <w:szCs w:val="28"/>
        </w:rPr>
        <w:t>SUPPLEMENTARY FIGURES AND FIGURE LEGENDS</w:t>
      </w:r>
    </w:p>
    <w:p w14:paraId="460BAA71" w14:textId="48967888" w:rsidR="00003059" w:rsidRDefault="00003059" w:rsidP="0024344B">
      <w:pPr>
        <w:spacing w:before="8" w:line="263" w:lineRule="exact"/>
        <w:ind w:right="-567"/>
        <w:jc w:val="left"/>
        <w:rPr>
          <w:rFonts w:ascii="Arial" w:hAnsi="Arial" w:cs="Arial"/>
          <w:b/>
          <w:bCs/>
          <w:color w:val="000000"/>
          <w:w w:val="97"/>
          <w:sz w:val="28"/>
          <w:szCs w:val="28"/>
        </w:rPr>
      </w:pPr>
    </w:p>
    <w:p w14:paraId="4F9ADE2F" w14:textId="034A96AE" w:rsidR="00003059" w:rsidRDefault="00003059" w:rsidP="0024344B">
      <w:pPr>
        <w:spacing w:before="8" w:line="263" w:lineRule="exact"/>
        <w:ind w:right="-567"/>
        <w:jc w:val="left"/>
        <w:rPr>
          <w:rFonts w:ascii="Arial" w:hAnsi="Arial" w:cs="Arial"/>
          <w:b/>
          <w:bCs/>
          <w:color w:val="000000"/>
          <w:w w:val="97"/>
          <w:sz w:val="28"/>
          <w:szCs w:val="28"/>
        </w:rPr>
      </w:pPr>
    </w:p>
    <w:p w14:paraId="5F835060" w14:textId="4BAF5170" w:rsidR="00003059" w:rsidRDefault="00003059" w:rsidP="0024344B">
      <w:pPr>
        <w:spacing w:before="8" w:line="263" w:lineRule="exact"/>
        <w:ind w:right="-567"/>
        <w:jc w:val="left"/>
        <w:rPr>
          <w:rFonts w:ascii="Arial" w:hAnsi="Arial" w:cs="Arial"/>
          <w:b/>
          <w:bCs/>
          <w:color w:val="000000"/>
          <w:w w:val="97"/>
          <w:sz w:val="28"/>
          <w:szCs w:val="28"/>
        </w:rPr>
      </w:pPr>
    </w:p>
    <w:p w14:paraId="1FD40903" w14:textId="77777777" w:rsidR="00003059" w:rsidRPr="00003059" w:rsidRDefault="00003059" w:rsidP="0024344B">
      <w:pPr>
        <w:spacing w:before="8" w:line="263" w:lineRule="exact"/>
        <w:ind w:right="-567"/>
        <w:jc w:val="left"/>
      </w:pPr>
    </w:p>
    <w:p w14:paraId="6EC9C41A" w14:textId="05FAED23" w:rsidR="0024344B" w:rsidRDefault="0024344B">
      <w:pPr>
        <w:widowControl/>
        <w:jc w:val="left"/>
      </w:pPr>
      <w:r>
        <w:br w:type="page"/>
      </w:r>
    </w:p>
    <w:p w14:paraId="041186D9" w14:textId="77777777" w:rsidR="00C17AD5" w:rsidRDefault="00C17AD5">
      <w:pPr>
        <w:widowControl/>
        <w:jc w:val="left"/>
      </w:pPr>
    </w:p>
    <w:p w14:paraId="4D07908D" w14:textId="224895BB" w:rsidR="00C17AD5" w:rsidRDefault="00000000">
      <w:pPr>
        <w:widowControl/>
        <w:jc w:val="left"/>
      </w:pPr>
      <w:r>
        <w:rPr>
          <w:noProof/>
        </w:rPr>
        <w:object w:dxaOrig="1440" w:dyaOrig="1440" w14:anchorId="453DFE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8" type="#_x0000_t75" style="position:absolute;margin-left:3.2pt;margin-top:3.75pt;width:412pt;height:168pt;z-index:251680768;mso-position-horizontal-relative:text;mso-position-vertical-relative:text;mso-width-relative:page;mso-height-relative:page">
            <v:imagedata r:id="rId6" o:title=""/>
            <w10:wrap type="topAndBottom"/>
          </v:shape>
          <o:OLEObject Type="Embed" ProgID="Unknown" ShapeID="_x0000_s2058" DrawAspect="Content" ObjectID="_1748886366" r:id="rId7"/>
        </w:object>
      </w:r>
    </w:p>
    <w:p w14:paraId="02CC8C46" w14:textId="55A4F336" w:rsidR="00C17AD5" w:rsidRDefault="00C17AD5" w:rsidP="00C17AD5">
      <w:pPr>
        <w:widowControl/>
      </w:pPr>
      <w:r w:rsidRPr="00C119DE">
        <w:rPr>
          <w:rFonts w:ascii="Arial" w:hAnsi="Arial" w:cs="Arial"/>
          <w:b/>
          <w:bCs/>
          <w:sz w:val="22"/>
          <w:szCs w:val="22"/>
        </w:rPr>
        <w:t>Figure S1. Timecourse of scratch responses to C48/80 and CQ. (A)</w:t>
      </w:r>
      <w:r w:rsidRPr="00C119DE">
        <w:rPr>
          <w:rFonts w:ascii="Arial" w:hAnsi="Arial" w:cs="Arial"/>
          <w:sz w:val="22"/>
          <w:szCs w:val="22"/>
        </w:rPr>
        <w:t xml:space="preserve"> The scratch frequencies were progressively increased and reached the peak within 15 min after C48/80 injection to the control mice. CSF1R depletion significantly decreased the scratch bouts overall (</w:t>
      </w:r>
      <w:r w:rsidRPr="00C119DE">
        <w:rPr>
          <w:rFonts w:ascii="Arial" w:hAnsi="Arial" w:cs="Arial"/>
          <w:i/>
          <w:iCs/>
          <w:sz w:val="22"/>
          <w:szCs w:val="22"/>
        </w:rPr>
        <w:t>p</w:t>
      </w:r>
      <w:r w:rsidRPr="00C119DE">
        <w:rPr>
          <w:rFonts w:ascii="Arial" w:hAnsi="Arial" w:cs="Arial"/>
          <w:sz w:val="22"/>
          <w:szCs w:val="22"/>
        </w:rPr>
        <w:t xml:space="preserve"> = 0.0002, </w:t>
      </w:r>
      <w:proofErr w:type="gramStart"/>
      <w:r w:rsidRPr="00C119DE">
        <w:rPr>
          <w:rFonts w:ascii="Arial" w:hAnsi="Arial" w:cs="Arial"/>
          <w:sz w:val="22"/>
          <w:szCs w:val="22"/>
        </w:rPr>
        <w:t>F(</w:t>
      </w:r>
      <w:proofErr w:type="gramEnd"/>
      <w:r w:rsidRPr="00C119DE">
        <w:rPr>
          <w:rFonts w:ascii="Arial" w:hAnsi="Arial" w:cs="Arial"/>
          <w:sz w:val="22"/>
          <w:szCs w:val="22"/>
        </w:rPr>
        <w:t xml:space="preserve">1, 13) = 26.61 for group effect, two-way ANOVO). </w:t>
      </w:r>
      <w:r w:rsidRPr="00C119DE">
        <w:rPr>
          <w:rFonts w:ascii="Arial" w:hAnsi="Arial" w:cs="Arial"/>
          <w:b/>
          <w:bCs/>
          <w:sz w:val="22"/>
          <w:szCs w:val="22"/>
        </w:rPr>
        <w:t>(B)</w:t>
      </w:r>
      <w:r w:rsidRPr="00C119DE">
        <w:rPr>
          <w:rFonts w:ascii="Arial" w:hAnsi="Arial" w:cs="Arial"/>
          <w:sz w:val="22"/>
          <w:szCs w:val="22"/>
        </w:rPr>
        <w:t xml:space="preserve"> The scratch responses to CQ showed a typical two-phase pattern that the immediate responses calmed down briefly in 3 min and then grew up and reach the peak at around 15 min after CQ injection to the control mice. CSF1R depletion significantly decreased the immediate responses and flattened the late stage peak (</w:t>
      </w:r>
      <w:r w:rsidRPr="00C119DE">
        <w:rPr>
          <w:rFonts w:ascii="Arial" w:hAnsi="Arial" w:cs="Arial"/>
          <w:i/>
          <w:iCs/>
          <w:sz w:val="22"/>
          <w:szCs w:val="22"/>
        </w:rPr>
        <w:t>p</w:t>
      </w:r>
      <w:r w:rsidRPr="00C119DE">
        <w:rPr>
          <w:rFonts w:ascii="Arial" w:hAnsi="Arial" w:cs="Arial"/>
          <w:sz w:val="22"/>
          <w:szCs w:val="22"/>
        </w:rPr>
        <w:t xml:space="preserve"> &lt; 0.0001, </w:t>
      </w:r>
      <w:proofErr w:type="gramStart"/>
      <w:r w:rsidRPr="00C119DE">
        <w:rPr>
          <w:rFonts w:ascii="Arial" w:hAnsi="Arial" w:cs="Arial"/>
          <w:sz w:val="22"/>
          <w:szCs w:val="22"/>
        </w:rPr>
        <w:t>F(</w:t>
      </w:r>
      <w:proofErr w:type="gramEnd"/>
      <w:r w:rsidRPr="00C119DE">
        <w:rPr>
          <w:rFonts w:ascii="Arial" w:hAnsi="Arial" w:cs="Arial"/>
          <w:sz w:val="22"/>
          <w:szCs w:val="22"/>
        </w:rPr>
        <w:t>1, 20) = 25.34 for group effect, two-way ANOVA with repeated measurement).</w:t>
      </w:r>
    </w:p>
    <w:p w14:paraId="0AD4F2F0" w14:textId="791D41AC" w:rsidR="00C17AD5" w:rsidRDefault="00000000">
      <w:pPr>
        <w:widowControl/>
        <w:jc w:val="left"/>
      </w:pPr>
      <w:r>
        <w:rPr>
          <w:noProof/>
        </w:rPr>
        <w:object w:dxaOrig="1440" w:dyaOrig="1440" w14:anchorId="6A8D2B33">
          <v:shape id="_x0000_s2051" type="#_x0000_t75" style="position:absolute;margin-left:0;margin-top:27.75pt;width:386.65pt;height:152.35pt;z-index:251661312;mso-position-horizontal-relative:text;mso-position-vertical-relative:text;mso-width-relative:page;mso-height-relative:page">
            <v:imagedata r:id="rId8" o:title=""/>
            <w10:wrap type="topAndBottom"/>
          </v:shape>
          <o:OLEObject Type="Embed" ProgID="Unknown" ShapeID="_x0000_s2051" DrawAspect="Content" ObjectID="_1748886367" r:id="rId9"/>
        </w:object>
      </w:r>
    </w:p>
    <w:p w14:paraId="7ACF50B8" w14:textId="60FD867D" w:rsidR="00C17AD5" w:rsidRDefault="00C17AD5">
      <w:pPr>
        <w:widowControl/>
        <w:jc w:val="left"/>
      </w:pPr>
    </w:p>
    <w:p w14:paraId="726D62A3" w14:textId="77777777" w:rsidR="00C17AD5" w:rsidRPr="00786292" w:rsidRDefault="00C17AD5" w:rsidP="00C17AD5">
      <w:pPr>
        <w:rPr>
          <w:rFonts w:ascii="Arial" w:hAnsi="Arial" w:cs="Arial"/>
          <w:sz w:val="22"/>
          <w:szCs w:val="22"/>
        </w:rPr>
      </w:pPr>
      <w:r w:rsidRPr="00786292">
        <w:rPr>
          <w:rFonts w:ascii="Arial" w:hAnsi="Arial" w:cs="Arial"/>
          <w:b/>
          <w:bCs/>
          <w:sz w:val="22"/>
          <w:szCs w:val="22"/>
        </w:rPr>
        <w:t>Figure S2. Microglia depletion did not affect β-alanine induced acute itch and Von Frey induced mechanical itch. (A)</w:t>
      </w:r>
      <w:r w:rsidRPr="00786292">
        <w:rPr>
          <w:rFonts w:ascii="Arial" w:hAnsi="Arial" w:cs="Arial"/>
          <w:sz w:val="22"/>
          <w:szCs w:val="22"/>
        </w:rPr>
        <w:t xml:space="preserve"> The Scratch responses to β-alanine were not different between CSF1R depletion and control mice during the 30 min observation (n=10 for CSF1R depletion, n=9 for control, </w:t>
      </w:r>
      <w:r w:rsidRPr="00786292">
        <w:rPr>
          <w:rFonts w:ascii="Arial" w:hAnsi="Arial" w:cs="Arial"/>
          <w:i/>
          <w:iCs/>
          <w:sz w:val="22"/>
          <w:szCs w:val="22"/>
        </w:rPr>
        <w:t xml:space="preserve">p </w:t>
      </w:r>
      <w:r w:rsidRPr="00786292">
        <w:rPr>
          <w:rFonts w:ascii="Arial" w:hAnsi="Arial" w:cs="Arial"/>
          <w:sz w:val="22"/>
          <w:szCs w:val="22"/>
        </w:rPr>
        <w:t xml:space="preserve">= 0.7343, un-paired t-test). </w:t>
      </w:r>
      <w:r w:rsidRPr="00786292">
        <w:rPr>
          <w:rFonts w:ascii="Arial" w:hAnsi="Arial" w:cs="Arial"/>
          <w:b/>
          <w:bCs/>
          <w:sz w:val="22"/>
          <w:szCs w:val="22"/>
        </w:rPr>
        <w:t>(B)</w:t>
      </w:r>
      <w:r w:rsidRPr="00786292">
        <w:rPr>
          <w:rFonts w:ascii="Arial" w:hAnsi="Arial" w:cs="Arial"/>
          <w:sz w:val="22"/>
          <w:szCs w:val="22"/>
        </w:rPr>
        <w:t xml:space="preserve"> the Von Frey induced mechanical itch responses were not affected by CSF1R depletion (n=9 for CSF1R depletion, n=7 for control, </w:t>
      </w:r>
      <w:r w:rsidRPr="00786292">
        <w:rPr>
          <w:rFonts w:ascii="Arial" w:hAnsi="Arial" w:cs="Arial"/>
          <w:i/>
          <w:iCs/>
          <w:sz w:val="22"/>
          <w:szCs w:val="22"/>
        </w:rPr>
        <w:t xml:space="preserve">p = </w:t>
      </w:r>
      <w:r w:rsidRPr="00786292">
        <w:rPr>
          <w:rFonts w:ascii="Arial" w:hAnsi="Arial" w:cs="Arial"/>
          <w:sz w:val="22"/>
          <w:szCs w:val="22"/>
        </w:rPr>
        <w:t xml:space="preserve">0.544, F (1, 14) = 0.387, two-way ANOVA with repeated measurement). Data were presented as mean ± SEM. </w:t>
      </w:r>
    </w:p>
    <w:p w14:paraId="29CFD0F8" w14:textId="77777777" w:rsidR="00C17AD5" w:rsidRDefault="00C17AD5">
      <w:pPr>
        <w:widowControl/>
        <w:jc w:val="left"/>
      </w:pPr>
    </w:p>
    <w:p w14:paraId="0667FE15" w14:textId="696DEA7E" w:rsidR="00003059" w:rsidRDefault="00003059">
      <w:pPr>
        <w:widowControl/>
        <w:jc w:val="left"/>
      </w:pPr>
    </w:p>
    <w:p w14:paraId="38C9D78A" w14:textId="4513F19B" w:rsidR="00C17AD5" w:rsidRDefault="00000000">
      <w:pPr>
        <w:widowControl/>
        <w:jc w:val="left"/>
      </w:pPr>
      <w:r>
        <w:rPr>
          <w:noProof/>
        </w:rPr>
        <w:lastRenderedPageBreak/>
        <w:object w:dxaOrig="1440" w:dyaOrig="1440" w14:anchorId="37575CC8">
          <v:shape id="_x0000_s2059" type="#_x0000_t75" style="position:absolute;margin-left:2.1pt;margin-top:14.45pt;width:414.6pt;height:291pt;z-index:251682816;mso-position-horizontal-relative:text;mso-position-vertical-relative:text;mso-width-relative:page;mso-height-relative:page">
            <v:imagedata r:id="rId10" o:title=""/>
            <w10:wrap type="topAndBottom"/>
          </v:shape>
          <o:OLEObject Type="Embed" ProgID="Unknown" ShapeID="_x0000_s2059" DrawAspect="Content" ObjectID="_1748886368" r:id="rId11"/>
        </w:object>
      </w:r>
    </w:p>
    <w:p w14:paraId="7185744F" w14:textId="27CBFDD3" w:rsidR="00C17AD5" w:rsidRDefault="00C17AD5">
      <w:pPr>
        <w:widowControl/>
        <w:jc w:val="left"/>
      </w:pPr>
    </w:p>
    <w:p w14:paraId="2928A0C6" w14:textId="77777777" w:rsidR="00C17AD5" w:rsidRPr="0024344B" w:rsidRDefault="00C17AD5" w:rsidP="00C17AD5">
      <w:pPr>
        <w:rPr>
          <w:rFonts w:ascii="Arial" w:hAnsi="Arial" w:cs="Arial"/>
          <w:sz w:val="22"/>
          <w:szCs w:val="22"/>
        </w:rPr>
      </w:pPr>
      <w:r w:rsidRPr="0024344B">
        <w:rPr>
          <w:rFonts w:ascii="Arial" w:hAnsi="Arial" w:cs="Arial"/>
          <w:b/>
          <w:bCs/>
          <w:color w:val="000000" w:themeColor="text1"/>
          <w:kern w:val="2"/>
          <w:sz w:val="22"/>
          <w:szCs w:val="22"/>
        </w:rPr>
        <w:t xml:space="preserve">Figure S3. Microglia were required for both acute and chronic itch induction. </w:t>
      </w:r>
      <w:r w:rsidRPr="0024344B">
        <w:rPr>
          <w:rFonts w:ascii="Arial" w:hAnsi="Arial" w:cs="Arial"/>
          <w:b/>
          <w:bCs/>
          <w:sz w:val="22"/>
          <w:szCs w:val="22"/>
        </w:rPr>
        <w:t>(A)</w:t>
      </w:r>
      <w:r w:rsidRPr="0024344B">
        <w:rPr>
          <w:rFonts w:ascii="Arial" w:hAnsi="Arial" w:cs="Arial"/>
          <w:sz w:val="22"/>
          <w:szCs w:val="22"/>
        </w:rPr>
        <w:t xml:space="preserve"> The CSF1R depletion strategy induced whole depletion (microglia + </w:t>
      </w:r>
      <w:proofErr w:type="gramStart"/>
      <w:r w:rsidRPr="0024344B">
        <w:rPr>
          <w:rFonts w:ascii="Arial" w:hAnsi="Arial" w:cs="Arial"/>
          <w:sz w:val="22"/>
          <w:szCs w:val="22"/>
        </w:rPr>
        <w:t>macrophages)  significantly</w:t>
      </w:r>
      <w:proofErr w:type="gramEnd"/>
      <w:r w:rsidRPr="0024344B">
        <w:rPr>
          <w:rFonts w:ascii="Arial" w:hAnsi="Arial" w:cs="Arial"/>
          <w:sz w:val="22"/>
          <w:szCs w:val="22"/>
        </w:rPr>
        <w:t xml:space="preserve"> reduced the total scratch responses to both C48/80 (</w:t>
      </w:r>
      <w:r w:rsidRPr="0024344B">
        <w:rPr>
          <w:rFonts w:ascii="Arial" w:hAnsi="Arial" w:cs="Arial"/>
          <w:i/>
          <w:iCs/>
          <w:sz w:val="22"/>
          <w:szCs w:val="22"/>
        </w:rPr>
        <w:t xml:space="preserve">p = </w:t>
      </w:r>
      <w:r w:rsidRPr="0024344B">
        <w:rPr>
          <w:rFonts w:ascii="Arial" w:hAnsi="Arial" w:cs="Arial"/>
          <w:sz w:val="22"/>
          <w:szCs w:val="22"/>
        </w:rPr>
        <w:t>0.000107) and CQ (</w:t>
      </w:r>
      <w:r w:rsidRPr="0024344B">
        <w:rPr>
          <w:rFonts w:ascii="Arial" w:hAnsi="Arial" w:cs="Arial"/>
          <w:i/>
          <w:iCs/>
          <w:sz w:val="22"/>
          <w:szCs w:val="22"/>
        </w:rPr>
        <w:t xml:space="preserve">p &lt; </w:t>
      </w:r>
      <w:r w:rsidRPr="0024344B">
        <w:rPr>
          <w:rFonts w:ascii="Arial" w:hAnsi="Arial" w:cs="Arial"/>
          <w:sz w:val="22"/>
          <w:szCs w:val="22"/>
        </w:rPr>
        <w:t>0.0001) during the 30 min observation, the responses to both C48/80 (</w:t>
      </w:r>
      <w:r w:rsidRPr="0024344B">
        <w:rPr>
          <w:rFonts w:ascii="Arial" w:hAnsi="Arial" w:cs="Arial"/>
          <w:i/>
          <w:iCs/>
          <w:sz w:val="22"/>
          <w:szCs w:val="22"/>
        </w:rPr>
        <w:t xml:space="preserve">p = </w:t>
      </w:r>
      <w:r w:rsidRPr="0024344B">
        <w:rPr>
          <w:rFonts w:ascii="Arial" w:hAnsi="Arial" w:cs="Arial"/>
          <w:sz w:val="22"/>
          <w:szCs w:val="22"/>
        </w:rPr>
        <w:t>0.0192) and CQ (</w:t>
      </w:r>
      <w:r w:rsidRPr="0024344B">
        <w:rPr>
          <w:rFonts w:ascii="Arial" w:hAnsi="Arial" w:cs="Arial"/>
          <w:i/>
          <w:iCs/>
          <w:sz w:val="22"/>
          <w:szCs w:val="22"/>
        </w:rPr>
        <w:t xml:space="preserve">p &lt; </w:t>
      </w:r>
      <w:r w:rsidRPr="0024344B">
        <w:rPr>
          <w:rFonts w:ascii="Arial" w:hAnsi="Arial" w:cs="Arial"/>
          <w:sz w:val="22"/>
          <w:szCs w:val="22"/>
        </w:rPr>
        <w:t xml:space="preserve">0.0001) were recovered at 2 weeks later when the depleted cells were repopulated (animal numbers referred to Fig. 1C). </w:t>
      </w:r>
      <w:r w:rsidRPr="0024344B">
        <w:rPr>
          <w:rFonts w:ascii="Arial" w:hAnsi="Arial" w:cs="Arial"/>
          <w:b/>
          <w:bCs/>
          <w:sz w:val="22"/>
          <w:szCs w:val="22"/>
        </w:rPr>
        <w:t>(B)</w:t>
      </w:r>
      <w:r w:rsidRPr="0024344B">
        <w:rPr>
          <w:rFonts w:ascii="Arial" w:hAnsi="Arial" w:cs="Arial"/>
          <w:sz w:val="22"/>
          <w:szCs w:val="22"/>
        </w:rPr>
        <w:t xml:space="preserve"> CX3CR1/</w:t>
      </w:r>
      <w:proofErr w:type="spellStart"/>
      <w:r w:rsidRPr="0024344B">
        <w:rPr>
          <w:rFonts w:ascii="Arial" w:hAnsi="Arial" w:cs="Arial"/>
          <w:sz w:val="22"/>
          <w:szCs w:val="22"/>
        </w:rPr>
        <w:t>iDTR</w:t>
      </w:r>
      <w:proofErr w:type="spellEnd"/>
      <w:r w:rsidRPr="0024344B">
        <w:rPr>
          <w:rFonts w:ascii="Arial" w:hAnsi="Arial" w:cs="Arial"/>
          <w:sz w:val="22"/>
          <w:szCs w:val="22"/>
        </w:rPr>
        <w:t xml:space="preserve"> strategy induced microglia depletion reduced the total scratch responses to both C48/80 (</w:t>
      </w:r>
      <w:r w:rsidRPr="0024344B">
        <w:rPr>
          <w:rFonts w:ascii="Arial" w:hAnsi="Arial" w:cs="Arial"/>
          <w:i/>
          <w:iCs/>
          <w:sz w:val="22"/>
          <w:szCs w:val="22"/>
        </w:rPr>
        <w:t xml:space="preserve">p = </w:t>
      </w:r>
      <w:r w:rsidRPr="0024344B">
        <w:rPr>
          <w:rFonts w:ascii="Arial" w:hAnsi="Arial" w:cs="Arial"/>
          <w:sz w:val="22"/>
          <w:szCs w:val="22"/>
        </w:rPr>
        <w:t>0.00123) and CQ (</w:t>
      </w:r>
      <w:r w:rsidRPr="0024344B">
        <w:rPr>
          <w:rFonts w:ascii="Arial" w:hAnsi="Arial" w:cs="Arial"/>
          <w:i/>
          <w:iCs/>
          <w:sz w:val="22"/>
          <w:szCs w:val="22"/>
        </w:rPr>
        <w:t xml:space="preserve">p = </w:t>
      </w:r>
      <w:r w:rsidRPr="0024344B">
        <w:rPr>
          <w:rFonts w:ascii="Arial" w:hAnsi="Arial" w:cs="Arial"/>
          <w:sz w:val="22"/>
          <w:szCs w:val="22"/>
        </w:rPr>
        <w:t xml:space="preserve">0.00116) (animal numbers referred to Fig. 2C). </w:t>
      </w:r>
      <w:r w:rsidRPr="0024344B">
        <w:rPr>
          <w:rFonts w:ascii="Arial" w:hAnsi="Arial" w:cs="Arial"/>
          <w:b/>
          <w:bCs/>
          <w:sz w:val="22"/>
          <w:szCs w:val="22"/>
        </w:rPr>
        <w:t>(C)</w:t>
      </w:r>
      <w:r w:rsidRPr="0024344B">
        <w:rPr>
          <w:rFonts w:ascii="Arial" w:hAnsi="Arial" w:cs="Arial"/>
          <w:sz w:val="22"/>
          <w:szCs w:val="22"/>
        </w:rPr>
        <w:t xml:space="preserve"> TMEM119/</w:t>
      </w:r>
      <w:proofErr w:type="spellStart"/>
      <w:r w:rsidRPr="0024344B">
        <w:rPr>
          <w:rFonts w:ascii="Arial" w:hAnsi="Arial" w:cs="Arial"/>
          <w:sz w:val="22"/>
          <w:szCs w:val="22"/>
        </w:rPr>
        <w:t>iDTR</w:t>
      </w:r>
      <w:proofErr w:type="spellEnd"/>
      <w:r w:rsidRPr="0024344B">
        <w:rPr>
          <w:rFonts w:ascii="Arial" w:hAnsi="Arial" w:cs="Arial"/>
          <w:sz w:val="22"/>
          <w:szCs w:val="22"/>
        </w:rPr>
        <w:t xml:space="preserve"> strategy induced partial microglia depletion reduced the total scratch responses to both C48/80 (</w:t>
      </w:r>
      <w:r w:rsidRPr="0024344B">
        <w:rPr>
          <w:rFonts w:ascii="Arial" w:hAnsi="Arial" w:cs="Arial"/>
          <w:i/>
          <w:iCs/>
          <w:sz w:val="22"/>
          <w:szCs w:val="22"/>
        </w:rPr>
        <w:t xml:space="preserve">p = </w:t>
      </w:r>
      <w:r w:rsidRPr="0024344B">
        <w:rPr>
          <w:rFonts w:ascii="Arial" w:hAnsi="Arial" w:cs="Arial"/>
          <w:sz w:val="22"/>
          <w:szCs w:val="22"/>
        </w:rPr>
        <w:t>0.0209) and CQ (</w:t>
      </w:r>
      <w:r w:rsidRPr="0024344B">
        <w:rPr>
          <w:rFonts w:ascii="Arial" w:hAnsi="Arial" w:cs="Arial"/>
          <w:i/>
          <w:iCs/>
          <w:sz w:val="22"/>
          <w:szCs w:val="22"/>
        </w:rPr>
        <w:t xml:space="preserve">p = </w:t>
      </w:r>
      <w:r w:rsidRPr="0024344B">
        <w:rPr>
          <w:rFonts w:ascii="Arial" w:hAnsi="Arial" w:cs="Arial"/>
          <w:sz w:val="22"/>
          <w:szCs w:val="22"/>
        </w:rPr>
        <w:t xml:space="preserve">0.00183) (animal numbers referred to Fig. 2D). </w:t>
      </w:r>
      <w:r w:rsidRPr="0024344B">
        <w:rPr>
          <w:rFonts w:ascii="Arial" w:hAnsi="Arial" w:cs="Arial"/>
          <w:b/>
          <w:bCs/>
          <w:sz w:val="22"/>
          <w:szCs w:val="22"/>
        </w:rPr>
        <w:t>(D)</w:t>
      </w:r>
      <w:r w:rsidRPr="0024344B">
        <w:rPr>
          <w:rFonts w:ascii="Arial" w:hAnsi="Arial" w:cs="Arial"/>
          <w:sz w:val="22"/>
          <w:szCs w:val="22"/>
        </w:rPr>
        <w:t xml:space="preserve"> CX3CR1 KO reduced the total scratch responses to C48/80 (</w:t>
      </w:r>
      <w:r w:rsidRPr="0024344B">
        <w:rPr>
          <w:rFonts w:ascii="Arial" w:hAnsi="Arial" w:cs="Arial"/>
          <w:i/>
          <w:iCs/>
          <w:sz w:val="22"/>
          <w:szCs w:val="22"/>
        </w:rPr>
        <w:t xml:space="preserve">p = </w:t>
      </w:r>
      <w:r w:rsidRPr="0024344B">
        <w:rPr>
          <w:rFonts w:ascii="Arial" w:hAnsi="Arial" w:cs="Arial"/>
          <w:sz w:val="22"/>
          <w:szCs w:val="22"/>
        </w:rPr>
        <w:t>0.000676), but not CQ (</w:t>
      </w:r>
      <w:r w:rsidRPr="0024344B">
        <w:rPr>
          <w:rFonts w:ascii="Arial" w:hAnsi="Arial" w:cs="Arial"/>
          <w:i/>
          <w:iCs/>
          <w:sz w:val="22"/>
          <w:szCs w:val="22"/>
        </w:rPr>
        <w:t xml:space="preserve">p = </w:t>
      </w:r>
      <w:r w:rsidRPr="0024344B">
        <w:rPr>
          <w:rFonts w:ascii="Arial" w:hAnsi="Arial" w:cs="Arial"/>
          <w:sz w:val="22"/>
          <w:szCs w:val="22"/>
        </w:rPr>
        <w:t>0.7802), while P2Y12 KO did not affect the responses to either C48/80 (</w:t>
      </w:r>
      <w:r w:rsidRPr="0024344B">
        <w:rPr>
          <w:rFonts w:ascii="Arial" w:hAnsi="Arial" w:cs="Arial"/>
          <w:i/>
          <w:iCs/>
          <w:sz w:val="22"/>
          <w:szCs w:val="22"/>
        </w:rPr>
        <w:t xml:space="preserve">p = </w:t>
      </w:r>
      <w:r w:rsidRPr="0024344B">
        <w:rPr>
          <w:rFonts w:ascii="Arial" w:hAnsi="Arial" w:cs="Arial"/>
          <w:sz w:val="22"/>
          <w:szCs w:val="22"/>
        </w:rPr>
        <w:t>0.2338) or CQ (</w:t>
      </w:r>
      <w:r w:rsidRPr="0024344B">
        <w:rPr>
          <w:rFonts w:ascii="Arial" w:hAnsi="Arial" w:cs="Arial"/>
          <w:i/>
          <w:iCs/>
          <w:sz w:val="22"/>
          <w:szCs w:val="22"/>
        </w:rPr>
        <w:t xml:space="preserve">p = </w:t>
      </w:r>
      <w:r w:rsidRPr="0024344B">
        <w:rPr>
          <w:rFonts w:ascii="Arial" w:hAnsi="Arial" w:cs="Arial"/>
          <w:sz w:val="22"/>
          <w:szCs w:val="22"/>
        </w:rPr>
        <w:t xml:space="preserve">0.8126) (animal numbers referred to Fig. 6B &amp; 6C). </w:t>
      </w:r>
      <w:r w:rsidRPr="0024344B">
        <w:rPr>
          <w:rFonts w:ascii="Arial" w:hAnsi="Arial" w:cs="Arial"/>
          <w:b/>
          <w:bCs/>
          <w:sz w:val="22"/>
          <w:szCs w:val="22"/>
        </w:rPr>
        <w:t>(E)</w:t>
      </w:r>
      <w:r w:rsidRPr="0024344B">
        <w:rPr>
          <w:rFonts w:ascii="Arial" w:hAnsi="Arial" w:cs="Arial"/>
          <w:sz w:val="22"/>
          <w:szCs w:val="22"/>
        </w:rPr>
        <w:t xml:space="preserve"> Microglia inhibition with intrathecal injection of minocycline reduced the total scratch responses to bot C48/80 (</w:t>
      </w:r>
      <w:r w:rsidRPr="0024344B">
        <w:rPr>
          <w:rFonts w:ascii="Arial" w:hAnsi="Arial" w:cs="Arial"/>
          <w:i/>
          <w:iCs/>
          <w:sz w:val="22"/>
          <w:szCs w:val="22"/>
        </w:rPr>
        <w:t xml:space="preserve">p = </w:t>
      </w:r>
      <w:r w:rsidRPr="0024344B">
        <w:rPr>
          <w:rFonts w:ascii="Arial" w:hAnsi="Arial" w:cs="Arial"/>
          <w:sz w:val="22"/>
          <w:szCs w:val="22"/>
        </w:rPr>
        <w:t>0.00392) and CQ (</w:t>
      </w:r>
      <w:r w:rsidRPr="0024344B">
        <w:rPr>
          <w:rFonts w:ascii="Arial" w:hAnsi="Arial" w:cs="Arial"/>
          <w:i/>
          <w:iCs/>
          <w:sz w:val="22"/>
          <w:szCs w:val="22"/>
        </w:rPr>
        <w:t xml:space="preserve">p = </w:t>
      </w:r>
      <w:r w:rsidRPr="0024344B">
        <w:rPr>
          <w:rFonts w:ascii="Arial" w:hAnsi="Arial" w:cs="Arial"/>
          <w:sz w:val="22"/>
          <w:szCs w:val="22"/>
        </w:rPr>
        <w:t>0.000425), while CX3CR1 inhibition with intrathecal injection of JMS-17-2 reduced the responses to C48/80 (</w:t>
      </w:r>
      <w:r w:rsidRPr="0024344B">
        <w:rPr>
          <w:rFonts w:ascii="Arial" w:hAnsi="Arial" w:cs="Arial"/>
          <w:i/>
          <w:iCs/>
          <w:sz w:val="22"/>
          <w:szCs w:val="22"/>
        </w:rPr>
        <w:t xml:space="preserve">p = </w:t>
      </w:r>
      <w:r w:rsidRPr="0024344B">
        <w:rPr>
          <w:rFonts w:ascii="Arial" w:hAnsi="Arial" w:cs="Arial"/>
          <w:sz w:val="22"/>
          <w:szCs w:val="22"/>
        </w:rPr>
        <w:t>0.0183), but not CQ (</w:t>
      </w:r>
      <w:r w:rsidRPr="0024344B">
        <w:rPr>
          <w:rFonts w:ascii="Arial" w:hAnsi="Arial" w:cs="Arial"/>
          <w:i/>
          <w:iCs/>
          <w:sz w:val="22"/>
          <w:szCs w:val="22"/>
        </w:rPr>
        <w:t xml:space="preserve">p = </w:t>
      </w:r>
      <w:r w:rsidRPr="0024344B">
        <w:rPr>
          <w:rFonts w:ascii="Arial" w:hAnsi="Arial" w:cs="Arial"/>
          <w:sz w:val="22"/>
          <w:szCs w:val="22"/>
        </w:rPr>
        <w:t xml:space="preserve">0.7450) (animal numbers referred to Fig. 6D &amp; 6E). </w:t>
      </w:r>
      <w:r w:rsidRPr="0024344B">
        <w:rPr>
          <w:rFonts w:ascii="Arial" w:hAnsi="Arial" w:cs="Arial"/>
          <w:b/>
          <w:bCs/>
          <w:sz w:val="22"/>
          <w:szCs w:val="22"/>
        </w:rPr>
        <w:t>(F)</w:t>
      </w:r>
      <w:r w:rsidRPr="0024344B">
        <w:rPr>
          <w:rFonts w:ascii="Arial" w:hAnsi="Arial" w:cs="Arial"/>
          <w:sz w:val="22"/>
          <w:szCs w:val="22"/>
        </w:rPr>
        <w:t xml:space="preserve"> CX3CR1/</w:t>
      </w:r>
      <w:proofErr w:type="spellStart"/>
      <w:r w:rsidRPr="0024344B">
        <w:rPr>
          <w:rFonts w:ascii="Arial" w:hAnsi="Arial" w:cs="Arial"/>
          <w:sz w:val="22"/>
          <w:szCs w:val="22"/>
        </w:rPr>
        <w:t>iDTR</w:t>
      </w:r>
      <w:proofErr w:type="spellEnd"/>
      <w:r w:rsidRPr="0024344B">
        <w:rPr>
          <w:rFonts w:ascii="Arial" w:hAnsi="Arial" w:cs="Arial"/>
          <w:sz w:val="22"/>
          <w:szCs w:val="22"/>
        </w:rPr>
        <w:t xml:space="preserve"> strategy induced microglia depletion (DT treated at </w:t>
      </w:r>
      <w:proofErr w:type="gramStart"/>
      <w:r w:rsidRPr="0024344B">
        <w:rPr>
          <w:rFonts w:ascii="Arial" w:hAnsi="Arial" w:cs="Arial"/>
          <w:sz w:val="22"/>
          <w:szCs w:val="22"/>
        </w:rPr>
        <w:t>day )</w:t>
      </w:r>
      <w:proofErr w:type="gramEnd"/>
      <w:r w:rsidRPr="0024344B">
        <w:rPr>
          <w:rFonts w:ascii="Arial" w:hAnsi="Arial" w:cs="Arial"/>
          <w:sz w:val="22"/>
          <w:szCs w:val="22"/>
        </w:rPr>
        <w:t xml:space="preserve"> blocked the chronic itch development with a 8-day dry skin (AEW) model. The spontaneous scratch behaviors were significantly reduced in the microglia depletion group at day 6 (</w:t>
      </w:r>
      <w:r w:rsidRPr="0024344B">
        <w:rPr>
          <w:rFonts w:ascii="Arial" w:hAnsi="Arial" w:cs="Arial"/>
          <w:i/>
          <w:iCs/>
          <w:sz w:val="22"/>
          <w:szCs w:val="22"/>
        </w:rPr>
        <w:t>p</w:t>
      </w:r>
      <w:r w:rsidRPr="0024344B">
        <w:rPr>
          <w:rFonts w:ascii="Arial" w:hAnsi="Arial" w:cs="Arial"/>
          <w:sz w:val="22"/>
          <w:szCs w:val="22"/>
        </w:rPr>
        <w:t xml:space="preserve"> = 0.0197) and day 8 (</w:t>
      </w:r>
      <w:r w:rsidRPr="0024344B">
        <w:rPr>
          <w:rFonts w:ascii="Arial" w:hAnsi="Arial" w:cs="Arial"/>
          <w:i/>
          <w:iCs/>
          <w:sz w:val="22"/>
          <w:szCs w:val="22"/>
        </w:rPr>
        <w:t>p</w:t>
      </w:r>
      <w:r w:rsidRPr="0024344B">
        <w:rPr>
          <w:rFonts w:ascii="Arial" w:hAnsi="Arial" w:cs="Arial"/>
          <w:sz w:val="22"/>
          <w:szCs w:val="22"/>
        </w:rPr>
        <w:t xml:space="preserve"> = 0.0002). The red arrows indicated the time of DT injection for microglia depletion. Data were presented as mean ± SEM.</w:t>
      </w:r>
    </w:p>
    <w:p w14:paraId="57D55CB2" w14:textId="77777777" w:rsidR="00C17AD5" w:rsidRDefault="00C17AD5">
      <w:pPr>
        <w:widowControl/>
        <w:jc w:val="left"/>
      </w:pPr>
    </w:p>
    <w:p w14:paraId="1A35207C" w14:textId="109BD3AB" w:rsidR="00003059" w:rsidRDefault="00003059">
      <w:pPr>
        <w:widowControl/>
        <w:jc w:val="left"/>
      </w:pPr>
    </w:p>
    <w:p w14:paraId="4672EF21" w14:textId="166A4FDA" w:rsidR="00003059" w:rsidRDefault="00000000">
      <w:pPr>
        <w:widowControl/>
        <w:jc w:val="left"/>
      </w:pPr>
      <w:r>
        <w:rPr>
          <w:noProof/>
        </w:rPr>
        <w:lastRenderedPageBreak/>
        <w:object w:dxaOrig="1440" w:dyaOrig="1440" w14:anchorId="6CBD0DAF">
          <v:shape id="_x0000_s2063" type="#_x0000_t75" style="position:absolute;margin-left:0;margin-top:7.85pt;width:414.6pt;height:511.8pt;z-index:251686912;mso-position-horizontal-relative:text;mso-position-vertical-relative:text;mso-width-relative:page;mso-height-relative:page">
            <v:imagedata r:id="rId12" o:title=""/>
            <w10:wrap type="topAndBottom"/>
          </v:shape>
          <o:OLEObject Type="Embed" ProgID="Unknown" ShapeID="_x0000_s2063" DrawAspect="Content" ObjectID="_1748886369" r:id="rId13"/>
        </w:object>
      </w:r>
    </w:p>
    <w:p w14:paraId="274EBB74" w14:textId="77777777" w:rsidR="00C17AD5" w:rsidRPr="0024344B" w:rsidRDefault="00C17AD5" w:rsidP="00C17AD5">
      <w:pPr>
        <w:rPr>
          <w:rFonts w:ascii="Arial" w:hAnsi="Arial" w:cs="Arial"/>
          <w:sz w:val="22"/>
          <w:szCs w:val="22"/>
        </w:rPr>
      </w:pPr>
      <w:r w:rsidRPr="0024344B">
        <w:rPr>
          <w:rFonts w:ascii="Arial" w:hAnsi="Arial" w:cs="Arial"/>
          <w:b/>
          <w:bCs/>
          <w:sz w:val="22"/>
          <w:szCs w:val="22"/>
        </w:rPr>
        <w:t xml:space="preserve">Figure S4. Specific expression of TMEM119 in central microglia but not peripheral macrophages. </w:t>
      </w:r>
      <w:r w:rsidRPr="0024344B">
        <w:rPr>
          <w:rFonts w:ascii="Arial" w:hAnsi="Arial" w:cs="Arial"/>
          <w:sz w:val="22"/>
          <w:szCs w:val="22"/>
        </w:rPr>
        <w:t>Samples were obtained from TMEM119</w:t>
      </w:r>
      <w:r w:rsidRPr="0024344B">
        <w:rPr>
          <w:rFonts w:ascii="Arial" w:hAnsi="Arial" w:cs="Arial"/>
          <w:sz w:val="22"/>
          <w:szCs w:val="22"/>
          <w:vertAlign w:val="superscript"/>
        </w:rPr>
        <w:t>CreER/</w:t>
      </w:r>
      <w:proofErr w:type="gramStart"/>
      <w:r w:rsidRPr="0024344B">
        <w:rPr>
          <w:rFonts w:ascii="Arial" w:hAnsi="Arial" w:cs="Arial"/>
          <w:sz w:val="22"/>
          <w:szCs w:val="22"/>
          <w:vertAlign w:val="superscript"/>
        </w:rPr>
        <w:t>+</w:t>
      </w:r>
      <w:r w:rsidRPr="0024344B">
        <w:rPr>
          <w:rFonts w:ascii="Arial" w:hAnsi="Arial" w:cs="Arial"/>
          <w:sz w:val="22"/>
          <w:szCs w:val="22"/>
        </w:rPr>
        <w:t>;</w:t>
      </w:r>
      <w:proofErr w:type="spellStart"/>
      <w:r w:rsidRPr="0024344B">
        <w:rPr>
          <w:rFonts w:ascii="Arial" w:hAnsi="Arial" w:cs="Arial"/>
          <w:sz w:val="22"/>
          <w:szCs w:val="22"/>
        </w:rPr>
        <w:t>ROSA</w:t>
      </w:r>
      <w:r w:rsidRPr="0024344B">
        <w:rPr>
          <w:rFonts w:ascii="Arial" w:hAnsi="Arial" w:cs="Arial"/>
          <w:sz w:val="22"/>
          <w:szCs w:val="22"/>
          <w:vertAlign w:val="superscript"/>
        </w:rPr>
        <w:t>tdTomato</w:t>
      </w:r>
      <w:proofErr w:type="spellEnd"/>
      <w:proofErr w:type="gramEnd"/>
      <w:r w:rsidRPr="0024344B">
        <w:rPr>
          <w:rFonts w:ascii="Arial" w:hAnsi="Arial" w:cs="Arial"/>
          <w:sz w:val="22"/>
          <w:szCs w:val="22"/>
          <w:vertAlign w:val="superscript"/>
        </w:rPr>
        <w:t>/+</w:t>
      </w:r>
      <w:r w:rsidRPr="0024344B">
        <w:rPr>
          <w:rFonts w:ascii="Arial" w:hAnsi="Arial" w:cs="Arial"/>
          <w:sz w:val="22"/>
          <w:szCs w:val="22"/>
        </w:rPr>
        <w:t xml:space="preserve"> mice that received 5 doses of daily Tamoxifen injection (100 mg/kg, 20 mg/ml in corn oil, </w:t>
      </w:r>
      <w:proofErr w:type="spellStart"/>
      <w:r w:rsidRPr="0024344B">
        <w:rPr>
          <w:rFonts w:ascii="Arial" w:hAnsi="Arial" w:cs="Arial"/>
          <w:sz w:val="22"/>
          <w:szCs w:val="22"/>
        </w:rPr>
        <w:t>i.p.</w:t>
      </w:r>
      <w:proofErr w:type="spellEnd"/>
      <w:r w:rsidRPr="0024344B">
        <w:rPr>
          <w:rFonts w:ascii="Arial" w:hAnsi="Arial" w:cs="Arial"/>
          <w:sz w:val="22"/>
          <w:szCs w:val="22"/>
        </w:rPr>
        <w:t xml:space="preserve">). As shown, in the spinal dorsal horn, around 90% of Iba1+ cells were tdTomato positive, in the attached spinal nerve, </w:t>
      </w:r>
      <w:proofErr w:type="gramStart"/>
      <w:r w:rsidRPr="0024344B">
        <w:rPr>
          <w:rFonts w:ascii="Arial" w:hAnsi="Arial" w:cs="Arial"/>
          <w:sz w:val="22"/>
          <w:szCs w:val="22"/>
        </w:rPr>
        <w:t>all of</w:t>
      </w:r>
      <w:proofErr w:type="gramEnd"/>
      <w:r w:rsidRPr="0024344B">
        <w:rPr>
          <w:rFonts w:ascii="Arial" w:hAnsi="Arial" w:cs="Arial"/>
          <w:sz w:val="22"/>
          <w:szCs w:val="22"/>
        </w:rPr>
        <w:t xml:space="preserve"> Iba1+ cells were tdTomato negative. In the DRG, almost all Iba1+ macrophages were tdTomato negative. The arrow indicated Iba1+/TdTomato+ microglia cell and Iba1+/tdTomato- spinal nerve macrophage cell </w:t>
      </w:r>
      <w:proofErr w:type="gramStart"/>
      <w:r w:rsidRPr="0024344B">
        <w:rPr>
          <w:rFonts w:ascii="Arial" w:hAnsi="Arial" w:cs="Arial"/>
          <w:sz w:val="22"/>
          <w:szCs w:val="22"/>
        </w:rPr>
        <w:t>were</w:t>
      </w:r>
      <w:proofErr w:type="gramEnd"/>
      <w:r w:rsidRPr="0024344B">
        <w:rPr>
          <w:rFonts w:ascii="Arial" w:hAnsi="Arial" w:cs="Arial"/>
          <w:sz w:val="22"/>
          <w:szCs w:val="22"/>
        </w:rPr>
        <w:t xml:space="preserve"> enlarged in the right bottom and top corners, respectively. N = 2 mice.</w:t>
      </w:r>
    </w:p>
    <w:p w14:paraId="3AE25B01" w14:textId="2D377E5D" w:rsidR="00A1681B" w:rsidRDefault="00A1681B">
      <w:pPr>
        <w:widowControl/>
        <w:jc w:val="left"/>
      </w:pPr>
      <w:r>
        <w:br w:type="page"/>
      </w:r>
    </w:p>
    <w:p w14:paraId="44F786B5" w14:textId="46E23883" w:rsidR="0024344B" w:rsidRDefault="00A1681B">
      <w:r>
        <w:rPr>
          <w:noProof/>
        </w:rPr>
        <w:lastRenderedPageBreak/>
        <w:drawing>
          <wp:inline distT="0" distB="0" distL="0" distR="0" wp14:anchorId="6F9EC198" wp14:editId="28341B7A">
            <wp:extent cx="5213143" cy="6873240"/>
            <wp:effectExtent l="0" t="0" r="6985" b="3810"/>
            <wp:docPr id="1119639603" name="图片 1" descr="图片包含 背景图案&#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639603" name="图片 1" descr="图片包含 背景图案&#10;&#10;描述已自动生成"/>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14763" cy="6875376"/>
                    </a:xfrm>
                    <a:prstGeom prst="rect">
                      <a:avLst/>
                    </a:prstGeom>
                  </pic:spPr>
                </pic:pic>
              </a:graphicData>
            </a:graphic>
          </wp:inline>
        </w:drawing>
      </w:r>
    </w:p>
    <w:p w14:paraId="2C62A49E" w14:textId="17BAD7D1" w:rsidR="00BA7E47" w:rsidRPr="00BA7E47" w:rsidRDefault="00BA7E47" w:rsidP="00BA7E47">
      <w:pPr>
        <w:rPr>
          <w:rFonts w:ascii="Arial" w:hAnsi="Arial" w:cs="Arial"/>
          <w:sz w:val="22"/>
          <w:szCs w:val="22"/>
        </w:rPr>
      </w:pPr>
      <w:r w:rsidRPr="00BA7E47">
        <w:rPr>
          <w:rFonts w:ascii="Arial" w:hAnsi="Arial" w:cs="Arial"/>
          <w:b/>
          <w:bCs/>
          <w:sz w:val="22"/>
          <w:szCs w:val="22"/>
        </w:rPr>
        <w:t xml:space="preserve">Figure S5. Microglia depletion reduced CQ elicited </w:t>
      </w:r>
      <w:proofErr w:type="spellStart"/>
      <w:r w:rsidRPr="00BA7E47">
        <w:rPr>
          <w:rFonts w:ascii="Arial" w:hAnsi="Arial" w:cs="Arial"/>
          <w:b/>
          <w:bCs/>
          <w:sz w:val="22"/>
          <w:szCs w:val="22"/>
        </w:rPr>
        <w:t>Grpr</w:t>
      </w:r>
      <w:proofErr w:type="spellEnd"/>
      <w:r w:rsidRPr="00BA7E47">
        <w:rPr>
          <w:rFonts w:ascii="Arial" w:hAnsi="Arial" w:cs="Arial"/>
          <w:b/>
          <w:bCs/>
          <w:sz w:val="22"/>
          <w:szCs w:val="22"/>
        </w:rPr>
        <w:t>+ neuronal c-fos activity. A)</w:t>
      </w:r>
      <w:r w:rsidRPr="00BA7E47">
        <w:rPr>
          <w:rFonts w:ascii="Arial" w:hAnsi="Arial" w:cs="Arial"/>
          <w:sz w:val="22"/>
          <w:szCs w:val="22"/>
        </w:rPr>
        <w:t xml:space="preserve"> sample image of c-fos and </w:t>
      </w:r>
      <w:proofErr w:type="spellStart"/>
      <w:r w:rsidRPr="00BA7E47">
        <w:rPr>
          <w:rFonts w:ascii="Arial" w:hAnsi="Arial" w:cs="Arial"/>
          <w:sz w:val="22"/>
          <w:szCs w:val="22"/>
        </w:rPr>
        <w:t>Grpr</w:t>
      </w:r>
      <w:proofErr w:type="spellEnd"/>
      <w:r w:rsidRPr="00BA7E47">
        <w:rPr>
          <w:rFonts w:ascii="Arial" w:hAnsi="Arial" w:cs="Arial"/>
          <w:sz w:val="22"/>
          <w:szCs w:val="22"/>
        </w:rPr>
        <w:t xml:space="preserve"> RNAscope assay showed the distribution of c-fos+ and </w:t>
      </w:r>
      <w:proofErr w:type="spellStart"/>
      <w:r w:rsidRPr="00BA7E47">
        <w:rPr>
          <w:rFonts w:ascii="Arial" w:hAnsi="Arial" w:cs="Arial"/>
          <w:sz w:val="22"/>
          <w:szCs w:val="22"/>
        </w:rPr>
        <w:t>Grpr</w:t>
      </w:r>
      <w:proofErr w:type="spellEnd"/>
      <w:r w:rsidRPr="00BA7E47">
        <w:rPr>
          <w:rFonts w:ascii="Arial" w:hAnsi="Arial" w:cs="Arial"/>
          <w:sz w:val="22"/>
          <w:szCs w:val="22"/>
        </w:rPr>
        <w:t xml:space="preserve">+ cells in the cervical spinal dorsal horn. </w:t>
      </w:r>
      <w:proofErr w:type="spellStart"/>
      <w:r w:rsidRPr="00BA7E47">
        <w:rPr>
          <w:rFonts w:ascii="Arial" w:hAnsi="Arial" w:cs="Arial"/>
          <w:sz w:val="22"/>
          <w:szCs w:val="22"/>
        </w:rPr>
        <w:t>Grpr</w:t>
      </w:r>
      <w:proofErr w:type="spellEnd"/>
      <w:r w:rsidRPr="00BA7E47">
        <w:rPr>
          <w:rFonts w:ascii="Arial" w:hAnsi="Arial" w:cs="Arial"/>
          <w:sz w:val="22"/>
          <w:szCs w:val="22"/>
        </w:rPr>
        <w:t xml:space="preserve">+ neurons were mainly located in layer I and the LSN area. </w:t>
      </w:r>
      <w:r w:rsidRPr="00BA7E47">
        <w:rPr>
          <w:rFonts w:ascii="Arial" w:hAnsi="Arial" w:cs="Arial"/>
          <w:b/>
          <w:bCs/>
          <w:sz w:val="22"/>
          <w:szCs w:val="22"/>
        </w:rPr>
        <w:t xml:space="preserve">B) </w:t>
      </w:r>
      <w:r w:rsidRPr="00BA7E47">
        <w:rPr>
          <w:rFonts w:ascii="Arial" w:hAnsi="Arial" w:cs="Arial"/>
          <w:sz w:val="22"/>
          <w:szCs w:val="22"/>
        </w:rPr>
        <w:t>Statistical data showed that CQ application significantly increased the number of c-fos+/</w:t>
      </w:r>
      <w:proofErr w:type="spellStart"/>
      <w:r w:rsidRPr="00BA7E47">
        <w:rPr>
          <w:rFonts w:ascii="Arial" w:hAnsi="Arial" w:cs="Arial"/>
          <w:sz w:val="22"/>
          <w:szCs w:val="22"/>
        </w:rPr>
        <w:t>Grpr</w:t>
      </w:r>
      <w:proofErr w:type="spellEnd"/>
      <w:r w:rsidRPr="00BA7E47">
        <w:rPr>
          <w:rFonts w:ascii="Arial" w:hAnsi="Arial" w:cs="Arial"/>
          <w:sz w:val="22"/>
          <w:szCs w:val="22"/>
        </w:rPr>
        <w:t>+ cells in total (</w:t>
      </w:r>
      <w:r w:rsidRPr="00BA7E47">
        <w:rPr>
          <w:rFonts w:ascii="Arial" w:hAnsi="Arial" w:cs="Arial"/>
          <w:i/>
          <w:iCs/>
          <w:sz w:val="22"/>
          <w:szCs w:val="22"/>
        </w:rPr>
        <w:t>p</w:t>
      </w:r>
      <w:r w:rsidRPr="00BA7E47">
        <w:rPr>
          <w:rFonts w:ascii="Arial" w:hAnsi="Arial" w:cs="Arial"/>
          <w:sz w:val="22"/>
          <w:szCs w:val="22"/>
        </w:rPr>
        <w:t xml:space="preserve"> = 0.0093) and in the LSN area (</w:t>
      </w:r>
      <w:r w:rsidRPr="00BA7E47">
        <w:rPr>
          <w:rFonts w:ascii="Arial" w:hAnsi="Arial" w:cs="Arial"/>
          <w:i/>
          <w:iCs/>
          <w:sz w:val="22"/>
          <w:szCs w:val="22"/>
        </w:rPr>
        <w:t>p</w:t>
      </w:r>
      <w:r w:rsidRPr="00BA7E47">
        <w:rPr>
          <w:rFonts w:ascii="Arial" w:hAnsi="Arial" w:cs="Arial"/>
          <w:sz w:val="22"/>
          <w:szCs w:val="22"/>
        </w:rPr>
        <w:t xml:space="preserve"> = 0.0027) as well. Microglia depletion significantly the CQ elicited c-fos+/</w:t>
      </w:r>
      <w:proofErr w:type="spellStart"/>
      <w:r w:rsidRPr="00BA7E47">
        <w:rPr>
          <w:rFonts w:ascii="Arial" w:hAnsi="Arial" w:cs="Arial"/>
          <w:sz w:val="22"/>
          <w:szCs w:val="22"/>
        </w:rPr>
        <w:t>Grpr</w:t>
      </w:r>
      <w:proofErr w:type="spellEnd"/>
      <w:r w:rsidRPr="00BA7E47">
        <w:rPr>
          <w:rFonts w:ascii="Arial" w:hAnsi="Arial" w:cs="Arial"/>
          <w:sz w:val="22"/>
          <w:szCs w:val="22"/>
        </w:rPr>
        <w:t>+ cells in total (</w:t>
      </w:r>
      <w:r w:rsidRPr="00BA7E47">
        <w:rPr>
          <w:rFonts w:ascii="Arial" w:hAnsi="Arial" w:cs="Arial"/>
          <w:i/>
          <w:iCs/>
          <w:sz w:val="22"/>
          <w:szCs w:val="22"/>
        </w:rPr>
        <w:t>p</w:t>
      </w:r>
      <w:r w:rsidRPr="00BA7E47">
        <w:rPr>
          <w:rFonts w:ascii="Arial" w:hAnsi="Arial" w:cs="Arial"/>
          <w:sz w:val="22"/>
          <w:szCs w:val="22"/>
        </w:rPr>
        <w:t xml:space="preserve"> = 0.0089) and in the LSN (</w:t>
      </w:r>
      <w:r w:rsidRPr="00BA7E47">
        <w:rPr>
          <w:rFonts w:ascii="Arial" w:hAnsi="Arial" w:cs="Arial"/>
          <w:i/>
          <w:iCs/>
          <w:sz w:val="22"/>
          <w:szCs w:val="22"/>
        </w:rPr>
        <w:t>p</w:t>
      </w:r>
      <w:r w:rsidRPr="00BA7E47">
        <w:rPr>
          <w:rFonts w:ascii="Arial" w:hAnsi="Arial" w:cs="Arial"/>
          <w:sz w:val="22"/>
          <w:szCs w:val="22"/>
        </w:rPr>
        <w:t xml:space="preserve"> = 0.0298). Data were obtained from 3 mice for each group, n = 10, 14 and 13 images for naïve, WT + CQ and microglia depletion + CQ group, respectively. Data were presented as mean ± SEM.</w:t>
      </w:r>
    </w:p>
    <w:p w14:paraId="41C5A2D0" w14:textId="77777777" w:rsidR="00A1681B" w:rsidRDefault="00A1681B"/>
    <w:p w14:paraId="7016A7A3" w14:textId="77777777" w:rsidR="00A1681B" w:rsidRDefault="00A1681B"/>
    <w:p w14:paraId="5642FD4B" w14:textId="77777777" w:rsidR="00A1681B" w:rsidRDefault="00A1681B"/>
    <w:p w14:paraId="4054C325" w14:textId="262CCEA8" w:rsidR="00C17AD5" w:rsidRDefault="00000000">
      <w:r>
        <w:rPr>
          <w:noProof/>
        </w:rPr>
        <w:object w:dxaOrig="1440" w:dyaOrig="1440" w14:anchorId="1BFD4DD6">
          <v:shape id="_x0000_s2064" type="#_x0000_t75" style="position:absolute;left:0;text-align:left;margin-left:0;margin-top:12.95pt;width:414.6pt;height:304.8pt;z-index:251688960;mso-position-horizontal-relative:text;mso-position-vertical-relative:text;mso-width-relative:page;mso-height-relative:page">
            <v:imagedata r:id="rId15" o:title=""/>
            <w10:wrap type="topAndBottom"/>
          </v:shape>
          <o:OLEObject Type="Embed" ProgID="Unknown" ShapeID="_x0000_s2064" DrawAspect="Content" ObjectID="_1748886370" r:id="rId16"/>
        </w:object>
      </w:r>
    </w:p>
    <w:p w14:paraId="6F265FBD" w14:textId="410D31AA" w:rsidR="00C17AD5" w:rsidRPr="0024344B" w:rsidRDefault="00C17AD5" w:rsidP="00C17AD5">
      <w:pPr>
        <w:rPr>
          <w:rFonts w:ascii="Arial" w:hAnsi="Arial" w:cs="Arial"/>
          <w:sz w:val="22"/>
          <w:szCs w:val="22"/>
        </w:rPr>
      </w:pPr>
      <w:r w:rsidRPr="0024344B">
        <w:rPr>
          <w:rFonts w:ascii="Arial" w:hAnsi="Arial" w:cs="Arial"/>
          <w:b/>
          <w:bCs/>
          <w:sz w:val="22"/>
          <w:szCs w:val="22"/>
        </w:rPr>
        <w:t>Figure S</w:t>
      </w:r>
      <w:r w:rsidR="00BA7E47">
        <w:rPr>
          <w:rFonts w:ascii="Arial" w:hAnsi="Arial" w:cs="Arial"/>
          <w:b/>
          <w:bCs/>
          <w:sz w:val="22"/>
          <w:szCs w:val="22"/>
        </w:rPr>
        <w:t>6</w:t>
      </w:r>
      <w:r w:rsidRPr="0024344B">
        <w:rPr>
          <w:rFonts w:ascii="Arial" w:hAnsi="Arial" w:cs="Arial"/>
          <w:b/>
          <w:bCs/>
          <w:sz w:val="22"/>
          <w:szCs w:val="22"/>
        </w:rPr>
        <w:t xml:space="preserve">. Representative RNAscope images showed triple labeling of c-fos, npr-1 and sst mRNA in the spinal dorsal horn of CX3CR1 KO mice by HA, C48/80 and CQ treated respectively. </w:t>
      </w:r>
      <w:r w:rsidRPr="0024344B">
        <w:rPr>
          <w:rFonts w:ascii="Arial" w:hAnsi="Arial" w:cs="Arial"/>
          <w:sz w:val="22"/>
          <w:szCs w:val="22"/>
        </w:rPr>
        <w:t xml:space="preserve">White and orange arrows indicated c-fos+ cells were enlarged at the bottom-left of the middle and right panels to show the co-labeling with </w:t>
      </w:r>
      <w:r w:rsidR="00BA7E47">
        <w:rPr>
          <w:rFonts w:ascii="Arial" w:hAnsi="Arial" w:cs="Arial"/>
          <w:sz w:val="22"/>
          <w:szCs w:val="22"/>
        </w:rPr>
        <w:t>N</w:t>
      </w:r>
      <w:r w:rsidRPr="0024344B">
        <w:rPr>
          <w:rFonts w:ascii="Arial" w:hAnsi="Arial" w:cs="Arial"/>
          <w:sz w:val="22"/>
          <w:szCs w:val="22"/>
        </w:rPr>
        <w:t xml:space="preserve">pr1 and </w:t>
      </w:r>
      <w:r w:rsidR="00BA7E47">
        <w:rPr>
          <w:rFonts w:ascii="Arial" w:hAnsi="Arial" w:cs="Arial"/>
          <w:sz w:val="22"/>
          <w:szCs w:val="22"/>
        </w:rPr>
        <w:t>S</w:t>
      </w:r>
      <w:r w:rsidRPr="0024344B">
        <w:rPr>
          <w:rFonts w:ascii="Arial" w:hAnsi="Arial" w:cs="Arial"/>
          <w:sz w:val="22"/>
          <w:szCs w:val="22"/>
        </w:rPr>
        <w:t>st, respectively. Green circle indicated the LSN area.</w:t>
      </w:r>
    </w:p>
    <w:p w14:paraId="3DC4594A" w14:textId="77777777" w:rsidR="00C17AD5" w:rsidRDefault="00C17AD5"/>
    <w:p w14:paraId="731D78DF" w14:textId="274B199C" w:rsidR="00C17AD5" w:rsidRDefault="00C17AD5"/>
    <w:p w14:paraId="07224912" w14:textId="77777777" w:rsidR="00C17AD5" w:rsidRDefault="00C17AD5"/>
    <w:p w14:paraId="377434B1" w14:textId="5686097A" w:rsidR="0024344B" w:rsidRDefault="0024344B"/>
    <w:p w14:paraId="71FEA236" w14:textId="2CA4FB98" w:rsidR="0024344B" w:rsidRDefault="0024344B"/>
    <w:p w14:paraId="0C05B57A" w14:textId="520FB11B" w:rsidR="0024344B" w:rsidRDefault="0024344B"/>
    <w:p w14:paraId="19A75C2E" w14:textId="77777777" w:rsidR="00784428" w:rsidRDefault="00784428"/>
    <w:p w14:paraId="33A1F9C1" w14:textId="77777777" w:rsidR="00784428" w:rsidRDefault="00784428"/>
    <w:p w14:paraId="1055EE92" w14:textId="77777777" w:rsidR="00784428" w:rsidRDefault="00784428"/>
    <w:p w14:paraId="6DA86934" w14:textId="34F6F06A" w:rsidR="00784428" w:rsidRDefault="00784428"/>
    <w:p w14:paraId="0071D559" w14:textId="2A126BB5" w:rsidR="00003059" w:rsidRDefault="00003059"/>
    <w:p w14:paraId="1FBAD753" w14:textId="5DE33E97" w:rsidR="00003059" w:rsidRDefault="00003059"/>
    <w:p w14:paraId="71E50839" w14:textId="7A79614C" w:rsidR="00003059" w:rsidRDefault="00003059"/>
    <w:p w14:paraId="1D96A4B6" w14:textId="37399696" w:rsidR="00003059" w:rsidRDefault="00003059"/>
    <w:p w14:paraId="4949AAE3" w14:textId="77777777" w:rsidR="00784428" w:rsidRDefault="00784428"/>
    <w:p w14:paraId="3F0A43F5" w14:textId="1480DDF8" w:rsidR="0024344B" w:rsidRDefault="00000000">
      <w:r>
        <w:rPr>
          <w:noProof/>
        </w:rPr>
        <w:lastRenderedPageBreak/>
        <w:object w:dxaOrig="1440" w:dyaOrig="1440" w14:anchorId="04C4D5CF">
          <v:shape id="_x0000_s2052" type="#_x0000_t75" style="position:absolute;left:0;text-align:left;margin-left:25.8pt;margin-top:2.7pt;width:313.35pt;height:538.8pt;z-index:251673600;mso-position-horizontal-relative:text;mso-position-vertical-relative:text;mso-width-relative:page;mso-height-relative:page">
            <v:imagedata r:id="rId17" o:title=""/>
            <w10:wrap type="topAndBottom"/>
          </v:shape>
          <o:OLEObject Type="Embed" ProgID="Unknown" ShapeID="_x0000_s2052" DrawAspect="Content" ObjectID="_1748886371" r:id="rId18"/>
        </w:object>
      </w:r>
    </w:p>
    <w:p w14:paraId="2ED02333" w14:textId="4AEBA7F5" w:rsidR="00C17AD5" w:rsidRPr="00784428" w:rsidRDefault="00C17AD5" w:rsidP="00C17AD5">
      <w:pPr>
        <w:rPr>
          <w:rFonts w:ascii="Arial" w:hAnsi="Arial" w:cs="Arial"/>
          <w:b/>
          <w:bCs/>
          <w:color w:val="000000" w:themeColor="text1"/>
          <w:kern w:val="2"/>
          <w:sz w:val="22"/>
          <w:szCs w:val="22"/>
        </w:rPr>
      </w:pPr>
      <w:r w:rsidRPr="00784428">
        <w:rPr>
          <w:rFonts w:ascii="Arial" w:hAnsi="Arial" w:cs="Arial"/>
          <w:b/>
          <w:bCs/>
          <w:sz w:val="22"/>
          <w:szCs w:val="22"/>
        </w:rPr>
        <w:t>Figure S</w:t>
      </w:r>
      <w:r w:rsidR="00BA7E47">
        <w:rPr>
          <w:rFonts w:ascii="Arial" w:hAnsi="Arial" w:cs="Arial"/>
          <w:b/>
          <w:bCs/>
          <w:sz w:val="22"/>
          <w:szCs w:val="22"/>
        </w:rPr>
        <w:t>7</w:t>
      </w:r>
      <w:r w:rsidRPr="00784428">
        <w:rPr>
          <w:rFonts w:ascii="Arial" w:hAnsi="Arial" w:cs="Arial"/>
          <w:b/>
          <w:bCs/>
          <w:sz w:val="22"/>
          <w:szCs w:val="22"/>
        </w:rPr>
        <w:t xml:space="preserve">. </w:t>
      </w:r>
      <w:r w:rsidR="00BA7E47">
        <w:rPr>
          <w:rFonts w:ascii="Arial" w:hAnsi="Arial" w:cs="Arial"/>
          <w:b/>
          <w:bCs/>
          <w:sz w:val="22"/>
          <w:szCs w:val="22"/>
        </w:rPr>
        <w:t>M</w:t>
      </w:r>
      <w:r w:rsidRPr="00784428">
        <w:rPr>
          <w:rFonts w:ascii="Arial" w:hAnsi="Arial" w:cs="Arial"/>
          <w:b/>
          <w:bCs/>
          <w:sz w:val="22"/>
          <w:szCs w:val="22"/>
        </w:rPr>
        <w:t>icroglia ablation inhibited c-</w:t>
      </w:r>
      <w:proofErr w:type="gramStart"/>
      <w:r w:rsidRPr="00784428">
        <w:rPr>
          <w:rFonts w:ascii="Arial" w:hAnsi="Arial" w:cs="Arial"/>
          <w:b/>
          <w:bCs/>
          <w:sz w:val="22"/>
          <w:szCs w:val="22"/>
        </w:rPr>
        <w:t>Fos</w:t>
      </w:r>
      <w:proofErr w:type="gramEnd"/>
      <w:r w:rsidRPr="00784428">
        <w:rPr>
          <w:rFonts w:ascii="Arial" w:hAnsi="Arial" w:cs="Arial"/>
          <w:b/>
          <w:bCs/>
          <w:sz w:val="22"/>
          <w:szCs w:val="22"/>
        </w:rPr>
        <w:t xml:space="preserve"> protein expression in the spinal cord induced by HA, C48/80 and CQ. (A) </w:t>
      </w:r>
      <w:r w:rsidRPr="00784428">
        <w:rPr>
          <w:rFonts w:ascii="Arial" w:hAnsi="Arial" w:cs="Arial"/>
          <w:sz w:val="22"/>
          <w:szCs w:val="22"/>
        </w:rPr>
        <w:t>Immunofluorescence of c-</w:t>
      </w:r>
      <w:proofErr w:type="gramStart"/>
      <w:r w:rsidRPr="00784428">
        <w:rPr>
          <w:rFonts w:ascii="Arial" w:hAnsi="Arial" w:cs="Arial"/>
          <w:sz w:val="22"/>
          <w:szCs w:val="22"/>
        </w:rPr>
        <w:t>Fos</w:t>
      </w:r>
      <w:proofErr w:type="gramEnd"/>
      <w:r w:rsidRPr="00784428">
        <w:rPr>
          <w:rFonts w:ascii="Arial" w:hAnsi="Arial" w:cs="Arial"/>
          <w:sz w:val="22"/>
          <w:szCs w:val="22"/>
        </w:rPr>
        <w:t xml:space="preserve"> expression in spinal cord of control and microglia ablation (ROSA</w:t>
      </w:r>
      <w:r w:rsidRPr="00784428">
        <w:rPr>
          <w:rFonts w:ascii="Arial" w:hAnsi="Arial" w:cs="Arial"/>
          <w:sz w:val="22"/>
          <w:szCs w:val="22"/>
          <w:vertAlign w:val="superscript"/>
        </w:rPr>
        <w:t>iDTR/+</w:t>
      </w:r>
      <w:r w:rsidRPr="00784428">
        <w:rPr>
          <w:rFonts w:ascii="Arial" w:hAnsi="Arial" w:cs="Arial"/>
          <w:sz w:val="22"/>
          <w:szCs w:val="22"/>
        </w:rPr>
        <w:t>:CX3CR1</w:t>
      </w:r>
      <w:r w:rsidRPr="00784428">
        <w:rPr>
          <w:rFonts w:ascii="Arial" w:hAnsi="Arial" w:cs="Arial"/>
          <w:sz w:val="22"/>
          <w:szCs w:val="22"/>
          <w:vertAlign w:val="superscript"/>
        </w:rPr>
        <w:t>CreER/+</w:t>
      </w:r>
      <w:r w:rsidRPr="00784428">
        <w:rPr>
          <w:rFonts w:ascii="Arial" w:hAnsi="Arial" w:cs="Arial"/>
          <w:sz w:val="22"/>
          <w:szCs w:val="22"/>
        </w:rPr>
        <w:t xml:space="preserve">) mice. Samples were obtained at 90 min after the treatment </w:t>
      </w:r>
      <w:proofErr w:type="gramStart"/>
      <w:r w:rsidRPr="00784428">
        <w:rPr>
          <w:rFonts w:ascii="Arial" w:hAnsi="Arial" w:cs="Arial"/>
          <w:sz w:val="22"/>
          <w:szCs w:val="22"/>
        </w:rPr>
        <w:t>of  HA</w:t>
      </w:r>
      <w:proofErr w:type="gramEnd"/>
      <w:r w:rsidRPr="00784428">
        <w:rPr>
          <w:rFonts w:ascii="Arial" w:hAnsi="Arial" w:cs="Arial"/>
          <w:sz w:val="22"/>
          <w:szCs w:val="22"/>
        </w:rPr>
        <w:t xml:space="preserve"> , C48/80 and CQ, respectively. </w:t>
      </w:r>
      <w:r w:rsidRPr="00784428">
        <w:rPr>
          <w:rFonts w:ascii="Arial" w:hAnsi="Arial" w:cs="Arial"/>
          <w:b/>
          <w:bCs/>
          <w:sz w:val="22"/>
          <w:szCs w:val="22"/>
        </w:rPr>
        <w:t xml:space="preserve">(B) </w:t>
      </w:r>
      <w:r w:rsidRPr="00784428">
        <w:rPr>
          <w:rFonts w:ascii="Arial" w:hAnsi="Arial" w:cs="Arial"/>
          <w:sz w:val="22"/>
          <w:szCs w:val="22"/>
        </w:rPr>
        <w:t>Statistic data showed that c-</w:t>
      </w:r>
      <w:proofErr w:type="gramStart"/>
      <w:r w:rsidRPr="00784428">
        <w:rPr>
          <w:rFonts w:ascii="Arial" w:hAnsi="Arial" w:cs="Arial"/>
          <w:sz w:val="22"/>
          <w:szCs w:val="22"/>
        </w:rPr>
        <w:t>Fos</w:t>
      </w:r>
      <w:proofErr w:type="gramEnd"/>
      <w:r w:rsidRPr="00784428">
        <w:rPr>
          <w:rFonts w:ascii="Arial" w:hAnsi="Arial" w:cs="Arial"/>
          <w:sz w:val="22"/>
          <w:szCs w:val="22"/>
        </w:rPr>
        <w:t xml:space="preserve"> expression was not altered by microglia ablation in the naïve mice (p = 0.7703), but was decreased in microglia ablation mice of HA (</w:t>
      </w:r>
      <w:r w:rsidRPr="00784428">
        <w:rPr>
          <w:rFonts w:ascii="Arial" w:hAnsi="Arial" w:cs="Arial"/>
          <w:i/>
          <w:iCs/>
          <w:sz w:val="22"/>
          <w:szCs w:val="22"/>
        </w:rPr>
        <w:t>p</w:t>
      </w:r>
      <w:r w:rsidRPr="00784428">
        <w:rPr>
          <w:rFonts w:ascii="Arial" w:hAnsi="Arial" w:cs="Arial"/>
          <w:sz w:val="22"/>
          <w:szCs w:val="22"/>
        </w:rPr>
        <w:t xml:space="preserve"> &lt; 0.0001), C48/80 (</w:t>
      </w:r>
      <w:r w:rsidRPr="00784428">
        <w:rPr>
          <w:rFonts w:ascii="Arial" w:hAnsi="Arial" w:cs="Arial"/>
          <w:i/>
          <w:iCs/>
          <w:sz w:val="22"/>
          <w:szCs w:val="22"/>
        </w:rPr>
        <w:t>p</w:t>
      </w:r>
      <w:r w:rsidRPr="00784428">
        <w:rPr>
          <w:rFonts w:ascii="Arial" w:hAnsi="Arial" w:cs="Arial"/>
          <w:sz w:val="22"/>
          <w:szCs w:val="22"/>
        </w:rPr>
        <w:t xml:space="preserve"> &lt; 0.0001) and CQ (</w:t>
      </w:r>
      <w:r w:rsidRPr="00784428">
        <w:rPr>
          <w:rFonts w:ascii="Arial" w:hAnsi="Arial" w:cs="Arial"/>
          <w:i/>
          <w:iCs/>
          <w:sz w:val="22"/>
          <w:szCs w:val="22"/>
        </w:rPr>
        <w:t>p</w:t>
      </w:r>
      <w:r w:rsidRPr="00784428">
        <w:rPr>
          <w:rFonts w:ascii="Arial" w:hAnsi="Arial" w:cs="Arial"/>
          <w:sz w:val="22"/>
          <w:szCs w:val="22"/>
        </w:rPr>
        <w:t xml:space="preserve"> &lt; 0.0001) groups. n = 9 images from 3 mice for each group.  ****</w:t>
      </w:r>
      <w:r w:rsidRPr="00784428">
        <w:rPr>
          <w:rFonts w:ascii="Arial" w:hAnsi="Arial" w:cs="Arial"/>
          <w:i/>
          <w:iCs/>
          <w:sz w:val="22"/>
          <w:szCs w:val="22"/>
        </w:rPr>
        <w:t>p</w:t>
      </w:r>
      <w:r w:rsidRPr="00784428">
        <w:rPr>
          <w:rFonts w:ascii="Arial" w:hAnsi="Arial" w:cs="Arial"/>
          <w:sz w:val="22"/>
          <w:szCs w:val="22"/>
        </w:rPr>
        <w:t xml:space="preserve"> &lt; 0.0001, un-paired t-test. Data were presented as mean ± SEM.</w:t>
      </w:r>
      <w:r w:rsidRPr="00784428">
        <w:rPr>
          <w:rFonts w:ascii="Arial" w:hAnsi="Arial" w:cs="Arial"/>
          <w:b/>
          <w:bCs/>
          <w:color w:val="000000" w:themeColor="text1"/>
          <w:kern w:val="2"/>
          <w:sz w:val="22"/>
          <w:szCs w:val="22"/>
        </w:rPr>
        <w:t xml:space="preserve"> </w:t>
      </w:r>
    </w:p>
    <w:p w14:paraId="77B3C1A5" w14:textId="01E32689" w:rsidR="00003059" w:rsidRDefault="00003059"/>
    <w:p w14:paraId="024A026E" w14:textId="424D4737" w:rsidR="00C17AD5" w:rsidRPr="00C17AD5" w:rsidRDefault="00000000">
      <w:r>
        <w:rPr>
          <w:noProof/>
        </w:rPr>
        <w:object w:dxaOrig="1440" w:dyaOrig="1440" w14:anchorId="36D60D8B">
          <v:shape id="_x0000_s2053" type="#_x0000_t75" style="position:absolute;left:0;text-align:left;margin-left:2.7pt;margin-top:.65pt;width:414.6pt;height:180pt;z-index:251675648;mso-position-horizontal-relative:text;mso-position-vertical-relative:text;mso-width-relative:page;mso-height-relative:page">
            <v:imagedata r:id="rId19" o:title=""/>
            <w10:wrap type="topAndBottom"/>
          </v:shape>
          <o:OLEObject Type="Embed" ProgID="Unknown" ShapeID="_x0000_s2053" DrawAspect="Content" ObjectID="_1748886372" r:id="rId20"/>
        </w:object>
      </w:r>
    </w:p>
    <w:p w14:paraId="61793277" w14:textId="70EB275C" w:rsidR="00C17AD5" w:rsidRPr="00784428" w:rsidRDefault="00C17AD5" w:rsidP="00C17AD5">
      <w:pPr>
        <w:rPr>
          <w:rFonts w:ascii="Arial" w:hAnsi="Arial" w:cs="Arial"/>
          <w:sz w:val="22"/>
          <w:szCs w:val="22"/>
        </w:rPr>
      </w:pPr>
      <w:r w:rsidRPr="00784428">
        <w:rPr>
          <w:rFonts w:ascii="Arial" w:hAnsi="Arial" w:cs="Arial"/>
          <w:b/>
          <w:bCs/>
          <w:sz w:val="22"/>
          <w:szCs w:val="22"/>
        </w:rPr>
        <w:t>Figure S</w:t>
      </w:r>
      <w:r w:rsidR="00BA7E47">
        <w:rPr>
          <w:rFonts w:ascii="Arial" w:hAnsi="Arial" w:cs="Arial"/>
          <w:b/>
          <w:bCs/>
          <w:sz w:val="22"/>
          <w:szCs w:val="22"/>
        </w:rPr>
        <w:t>8</w:t>
      </w:r>
      <w:r w:rsidRPr="00784428">
        <w:rPr>
          <w:rFonts w:ascii="Arial" w:hAnsi="Arial" w:cs="Arial"/>
          <w:b/>
          <w:bCs/>
          <w:sz w:val="22"/>
          <w:szCs w:val="22"/>
        </w:rPr>
        <w:t xml:space="preserve">. Microglial regulation of itch transmission was sexually independent. (A) </w:t>
      </w:r>
      <w:r w:rsidRPr="00784428">
        <w:rPr>
          <w:rFonts w:ascii="Arial" w:hAnsi="Arial" w:cs="Arial"/>
          <w:sz w:val="22"/>
          <w:szCs w:val="22"/>
        </w:rPr>
        <w:t>C48/80 induced scratch responses in male and female were similar in both stages (</w:t>
      </w:r>
      <w:r w:rsidRPr="00784428">
        <w:rPr>
          <w:rFonts w:ascii="Arial" w:hAnsi="Arial" w:cs="Arial"/>
          <w:i/>
          <w:iCs/>
          <w:sz w:val="22"/>
          <w:szCs w:val="22"/>
        </w:rPr>
        <w:t>p</w:t>
      </w:r>
      <w:r w:rsidRPr="00784428">
        <w:rPr>
          <w:rFonts w:ascii="Arial" w:hAnsi="Arial" w:cs="Arial"/>
          <w:sz w:val="22"/>
          <w:szCs w:val="22"/>
        </w:rPr>
        <w:t xml:space="preserve"> = 0.421 for early stage, </w:t>
      </w:r>
      <w:r w:rsidRPr="00784428">
        <w:rPr>
          <w:rFonts w:ascii="Arial" w:hAnsi="Arial" w:cs="Arial"/>
          <w:i/>
          <w:iCs/>
          <w:sz w:val="22"/>
          <w:szCs w:val="22"/>
        </w:rPr>
        <w:t>p</w:t>
      </w:r>
      <w:r w:rsidRPr="00784428">
        <w:rPr>
          <w:rFonts w:ascii="Arial" w:hAnsi="Arial" w:cs="Arial"/>
          <w:sz w:val="22"/>
          <w:szCs w:val="22"/>
        </w:rPr>
        <w:t xml:space="preserve"> = 0.474 for late stage, n = 7 for male, n = 6 for female) in the vehicle control group, with intrathecal minocycline injection, the responses in the late stage were reduced similarly in both sex groups (p = 0.389 for male vs. female in the minocycline group, </w:t>
      </w:r>
      <w:r w:rsidRPr="00784428">
        <w:rPr>
          <w:rFonts w:ascii="Arial" w:hAnsi="Arial" w:cs="Arial"/>
          <w:i/>
          <w:iCs/>
          <w:sz w:val="22"/>
          <w:szCs w:val="22"/>
        </w:rPr>
        <w:t>p</w:t>
      </w:r>
      <w:r w:rsidRPr="00784428">
        <w:rPr>
          <w:rFonts w:ascii="Arial" w:hAnsi="Arial" w:cs="Arial"/>
          <w:sz w:val="22"/>
          <w:szCs w:val="22"/>
        </w:rPr>
        <w:t xml:space="preserve"> &lt; 0.0001 for vehicle vs. minocycline, n= 8 for both male and female in the minocycline group). </w:t>
      </w:r>
      <w:r w:rsidRPr="00784428">
        <w:rPr>
          <w:rFonts w:ascii="Arial" w:hAnsi="Arial" w:cs="Arial"/>
          <w:b/>
          <w:bCs/>
          <w:sz w:val="22"/>
          <w:szCs w:val="22"/>
        </w:rPr>
        <w:t xml:space="preserve">(B) </w:t>
      </w:r>
      <w:r w:rsidRPr="00784428">
        <w:rPr>
          <w:rFonts w:ascii="Arial" w:hAnsi="Arial" w:cs="Arial"/>
          <w:sz w:val="22"/>
          <w:szCs w:val="22"/>
        </w:rPr>
        <w:t>CQ induced scratch responses in male and female were similar in both stages (</w:t>
      </w:r>
      <w:r w:rsidRPr="00784428">
        <w:rPr>
          <w:rFonts w:ascii="Arial" w:hAnsi="Arial" w:cs="Arial"/>
          <w:i/>
          <w:iCs/>
          <w:sz w:val="22"/>
          <w:szCs w:val="22"/>
        </w:rPr>
        <w:t>p</w:t>
      </w:r>
      <w:r w:rsidRPr="00784428">
        <w:rPr>
          <w:rFonts w:ascii="Arial" w:hAnsi="Arial" w:cs="Arial"/>
          <w:sz w:val="22"/>
          <w:szCs w:val="22"/>
        </w:rPr>
        <w:t xml:space="preserve"> = 0.150 for early stage, </w:t>
      </w:r>
      <w:r w:rsidRPr="00784428">
        <w:rPr>
          <w:rFonts w:ascii="Arial" w:hAnsi="Arial" w:cs="Arial"/>
          <w:i/>
          <w:iCs/>
          <w:sz w:val="22"/>
          <w:szCs w:val="22"/>
        </w:rPr>
        <w:t>p</w:t>
      </w:r>
      <w:r w:rsidRPr="00784428">
        <w:rPr>
          <w:rFonts w:ascii="Arial" w:hAnsi="Arial" w:cs="Arial"/>
          <w:sz w:val="22"/>
          <w:szCs w:val="22"/>
        </w:rPr>
        <w:t xml:space="preserve"> = 0.327 for late stage, n = 7 for male, n = 7 for female) in the vehicle control group, with intrathecal minocycline injection, the responses in the late stage were reduced similarly in both sex groups (p = 0.930 for male vs. female in the minocycline group, </w:t>
      </w:r>
      <w:r w:rsidRPr="00784428">
        <w:rPr>
          <w:rFonts w:ascii="Arial" w:hAnsi="Arial" w:cs="Arial"/>
          <w:i/>
          <w:iCs/>
          <w:sz w:val="22"/>
          <w:szCs w:val="22"/>
        </w:rPr>
        <w:t>p</w:t>
      </w:r>
      <w:r w:rsidRPr="00784428">
        <w:rPr>
          <w:rFonts w:ascii="Arial" w:hAnsi="Arial" w:cs="Arial"/>
          <w:sz w:val="22"/>
          <w:szCs w:val="22"/>
        </w:rPr>
        <w:t xml:space="preserve"> &lt; 0.0001 for vehicle vs. minocycline, n= 7 for male and n = 8 for female in the minocycline group).  ****</w:t>
      </w:r>
      <w:r w:rsidRPr="00784428">
        <w:rPr>
          <w:rFonts w:ascii="Arial" w:hAnsi="Arial" w:cs="Arial"/>
          <w:i/>
          <w:iCs/>
          <w:sz w:val="22"/>
          <w:szCs w:val="22"/>
        </w:rPr>
        <w:t>p</w:t>
      </w:r>
      <w:r w:rsidRPr="00784428">
        <w:rPr>
          <w:rFonts w:ascii="Arial" w:hAnsi="Arial" w:cs="Arial"/>
          <w:sz w:val="22"/>
          <w:szCs w:val="22"/>
        </w:rPr>
        <w:t xml:space="preserve"> &lt; 0.0001, un-paired t-test. Data were presented as mean ± SEM. </w:t>
      </w:r>
    </w:p>
    <w:p w14:paraId="3FDA9105" w14:textId="25CDC131" w:rsidR="00003059" w:rsidRPr="00C17AD5" w:rsidRDefault="00003059"/>
    <w:p w14:paraId="21479A49" w14:textId="04CB23CE" w:rsidR="00003059" w:rsidRDefault="00003059"/>
    <w:p w14:paraId="5A6EF797" w14:textId="74843085" w:rsidR="00003059" w:rsidRDefault="00003059"/>
    <w:p w14:paraId="73314D5B" w14:textId="730E2C2A" w:rsidR="00003059" w:rsidRDefault="00003059"/>
    <w:p w14:paraId="32DAC435" w14:textId="72514687" w:rsidR="00003059" w:rsidRDefault="00003059"/>
    <w:p w14:paraId="33EA70E2" w14:textId="0B4F3AB3" w:rsidR="00003059" w:rsidRDefault="00003059"/>
    <w:p w14:paraId="51718198" w14:textId="77777777" w:rsidR="00003059" w:rsidRDefault="00003059"/>
    <w:p w14:paraId="3EE5AFC0" w14:textId="26EC7C8E" w:rsidR="00003059" w:rsidRDefault="00003059"/>
    <w:p w14:paraId="2B9F4574" w14:textId="0C2A837D" w:rsidR="00003059" w:rsidRDefault="00003059"/>
    <w:p w14:paraId="3F7B928F" w14:textId="50408BB5" w:rsidR="00003059" w:rsidRDefault="00003059"/>
    <w:p w14:paraId="0DC7A642" w14:textId="032B0DDC" w:rsidR="00003059" w:rsidRDefault="00003059"/>
    <w:p w14:paraId="5CFB681A" w14:textId="0AB4EDE6" w:rsidR="00003059" w:rsidRDefault="00003059"/>
    <w:p w14:paraId="2174900A" w14:textId="328F629D" w:rsidR="00003059" w:rsidRDefault="00003059"/>
    <w:p w14:paraId="659E6BF3" w14:textId="31BC8A9E" w:rsidR="0024344B" w:rsidRDefault="0024344B"/>
    <w:p w14:paraId="291E9934" w14:textId="7C1FFB88" w:rsidR="00003059" w:rsidRDefault="00003059"/>
    <w:p w14:paraId="7201807F" w14:textId="3EAB7E26" w:rsidR="00003059" w:rsidRDefault="00003059"/>
    <w:p w14:paraId="541354F1" w14:textId="04AE72ED" w:rsidR="00003059" w:rsidRDefault="00003059"/>
    <w:p w14:paraId="337BAB9D" w14:textId="49D4FEE0" w:rsidR="00003059" w:rsidRDefault="00003059"/>
    <w:p w14:paraId="34FE0FE7" w14:textId="52EDC08B" w:rsidR="00784428" w:rsidRDefault="00784428">
      <w:pPr>
        <w:rPr>
          <w:noProof/>
        </w:rPr>
      </w:pPr>
    </w:p>
    <w:p w14:paraId="5CB7A6D5" w14:textId="77777777" w:rsidR="00DB3280" w:rsidRDefault="00DB3280">
      <w:pPr>
        <w:rPr>
          <w:noProof/>
        </w:rPr>
      </w:pPr>
    </w:p>
    <w:p w14:paraId="78B02D84" w14:textId="77777777" w:rsidR="00DB3280" w:rsidRDefault="00DB3280">
      <w:pPr>
        <w:rPr>
          <w:noProof/>
        </w:rPr>
      </w:pPr>
    </w:p>
    <w:p w14:paraId="391E19F4" w14:textId="77777777" w:rsidR="00DB3280" w:rsidRDefault="00DB3280">
      <w:pPr>
        <w:rPr>
          <w:noProof/>
        </w:rPr>
      </w:pPr>
    </w:p>
    <w:p w14:paraId="0827D768" w14:textId="77777777" w:rsidR="00DB3280" w:rsidRDefault="00DB3280">
      <w:pPr>
        <w:rPr>
          <w:noProof/>
        </w:rPr>
      </w:pPr>
    </w:p>
    <w:p w14:paraId="5F224192" w14:textId="77777777" w:rsidR="00DB3280" w:rsidRDefault="00DB3280">
      <w:pPr>
        <w:rPr>
          <w:noProof/>
        </w:rPr>
      </w:pPr>
    </w:p>
    <w:p w14:paraId="1E40AB40" w14:textId="77777777" w:rsidR="00DB3280" w:rsidRDefault="00DB3280">
      <w:pPr>
        <w:rPr>
          <w:noProof/>
        </w:rPr>
      </w:pPr>
    </w:p>
    <w:p w14:paraId="582E349E" w14:textId="77777777" w:rsidR="00DB3280" w:rsidRDefault="00DB3280">
      <w:pPr>
        <w:rPr>
          <w:noProof/>
        </w:rPr>
      </w:pPr>
    </w:p>
    <w:p w14:paraId="086610F5" w14:textId="77777777" w:rsidR="00DB3280" w:rsidRDefault="00DB3280">
      <w:pPr>
        <w:rPr>
          <w:noProof/>
        </w:rPr>
      </w:pPr>
    </w:p>
    <w:p w14:paraId="326861E0" w14:textId="77777777" w:rsidR="00DB3280" w:rsidRDefault="00DB3280">
      <w:pPr>
        <w:rPr>
          <w:noProof/>
        </w:rPr>
      </w:pPr>
    </w:p>
    <w:p w14:paraId="60B2DFAB" w14:textId="77777777" w:rsidR="00DB3280" w:rsidRDefault="00DB3280">
      <w:pPr>
        <w:rPr>
          <w:noProof/>
        </w:rPr>
      </w:pPr>
    </w:p>
    <w:p w14:paraId="0DF0101B" w14:textId="77777777" w:rsidR="00DB3280" w:rsidRDefault="00DB3280">
      <w:pPr>
        <w:rPr>
          <w:noProof/>
        </w:rPr>
      </w:pPr>
    </w:p>
    <w:p w14:paraId="0BB0DFBA" w14:textId="77777777" w:rsidR="00DB3280" w:rsidRDefault="00DB3280">
      <w:pPr>
        <w:rPr>
          <w:noProof/>
        </w:rPr>
      </w:pPr>
    </w:p>
    <w:p w14:paraId="230611B0" w14:textId="70B59A0E" w:rsidR="00DB3280" w:rsidRPr="00784428" w:rsidRDefault="00DB3280">
      <w:pPr>
        <w:rPr>
          <w:rFonts w:hint="eastAsia"/>
        </w:rPr>
      </w:pPr>
      <w:r>
        <w:rPr>
          <w:rFonts w:hint="eastAsia"/>
          <w:noProof/>
        </w:rPr>
        <w:drawing>
          <wp:inline distT="0" distB="0" distL="0" distR="0" wp14:anchorId="01E3F005" wp14:editId="0458DA4D">
            <wp:extent cx="5274310" cy="1670050"/>
            <wp:effectExtent l="0" t="0" r="2540" b="6350"/>
            <wp:docPr id="5501375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37534" name="图片 55013753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74310" cy="1670050"/>
                    </a:xfrm>
                    <a:prstGeom prst="rect">
                      <a:avLst/>
                    </a:prstGeom>
                  </pic:spPr>
                </pic:pic>
              </a:graphicData>
            </a:graphic>
          </wp:inline>
        </w:drawing>
      </w:r>
    </w:p>
    <w:p w14:paraId="46433C1E" w14:textId="522CC7F4" w:rsidR="00BA7E47" w:rsidRDefault="00C17AD5">
      <w:pPr>
        <w:rPr>
          <w:rFonts w:ascii="Arial" w:hAnsi="Arial" w:cs="Arial"/>
          <w:sz w:val="22"/>
          <w:szCs w:val="22"/>
        </w:rPr>
      </w:pPr>
      <w:r w:rsidRPr="0082560D">
        <w:rPr>
          <w:rFonts w:ascii="Arial" w:hAnsi="Arial" w:cs="Arial"/>
          <w:b/>
          <w:bCs/>
          <w:sz w:val="22"/>
          <w:szCs w:val="22"/>
        </w:rPr>
        <w:t>Figure S</w:t>
      </w:r>
      <w:r w:rsidR="00BA7E47">
        <w:rPr>
          <w:rFonts w:ascii="Arial" w:hAnsi="Arial" w:cs="Arial"/>
          <w:b/>
          <w:bCs/>
          <w:sz w:val="22"/>
          <w:szCs w:val="22"/>
        </w:rPr>
        <w:t>9</w:t>
      </w:r>
      <w:r w:rsidRPr="0082560D">
        <w:rPr>
          <w:rFonts w:ascii="Arial" w:hAnsi="Arial" w:cs="Arial"/>
          <w:b/>
          <w:bCs/>
          <w:sz w:val="22"/>
          <w:szCs w:val="22"/>
        </w:rPr>
        <w:t xml:space="preserve">. CX3CL1 expression pattern in spinal dorsal horn. </w:t>
      </w:r>
      <w:r w:rsidR="00BA7E47" w:rsidRPr="00BA7E47">
        <w:rPr>
          <w:rFonts w:ascii="Arial" w:hAnsi="Arial" w:cs="Arial"/>
          <w:sz w:val="22"/>
          <w:szCs w:val="22"/>
        </w:rPr>
        <w:t xml:space="preserve">RNAscope assay showed cx3cl1 mRNA was constantly expressed in in the spinal dorsal horn with or without itch mediator applications.  </w:t>
      </w:r>
    </w:p>
    <w:p w14:paraId="6B4010D9" w14:textId="77777777" w:rsidR="00BA7E47" w:rsidRDefault="00BA7E47">
      <w:pPr>
        <w:widowControl/>
        <w:jc w:val="left"/>
        <w:rPr>
          <w:rFonts w:ascii="Arial" w:hAnsi="Arial" w:cs="Arial"/>
          <w:sz w:val="22"/>
          <w:szCs w:val="22"/>
        </w:rPr>
      </w:pPr>
      <w:r>
        <w:rPr>
          <w:rFonts w:ascii="Arial" w:hAnsi="Arial" w:cs="Arial"/>
          <w:sz w:val="22"/>
          <w:szCs w:val="22"/>
        </w:rPr>
        <w:br w:type="page"/>
      </w:r>
    </w:p>
    <w:p w14:paraId="2AA753E5" w14:textId="2A52EFF8" w:rsidR="00784428" w:rsidRDefault="00BA7E47">
      <w:r>
        <w:rPr>
          <w:noProof/>
        </w:rPr>
        <w:lastRenderedPageBreak/>
        <w:drawing>
          <wp:inline distT="0" distB="0" distL="0" distR="0" wp14:anchorId="4ACCD835" wp14:editId="3301F836">
            <wp:extent cx="5274310" cy="4187825"/>
            <wp:effectExtent l="0" t="0" r="2540" b="3175"/>
            <wp:docPr id="1656970094" name="图片 3" descr="图示, 维恩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970094" name="图片 3" descr="图示, 维恩图&#10;&#10;描述已自动生成"/>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74310" cy="4187825"/>
                    </a:xfrm>
                    <a:prstGeom prst="rect">
                      <a:avLst/>
                    </a:prstGeom>
                  </pic:spPr>
                </pic:pic>
              </a:graphicData>
            </a:graphic>
          </wp:inline>
        </w:drawing>
      </w:r>
    </w:p>
    <w:p w14:paraId="19756112" w14:textId="49573FFE" w:rsidR="00BA7E47" w:rsidRPr="00BA7E47" w:rsidRDefault="00BA7E47" w:rsidP="00BA7E47">
      <w:pPr>
        <w:rPr>
          <w:rFonts w:ascii="Arial" w:hAnsi="Arial" w:cs="Arial"/>
          <w:sz w:val="22"/>
          <w:szCs w:val="22"/>
        </w:rPr>
      </w:pPr>
      <w:r w:rsidRPr="00BA7E47">
        <w:rPr>
          <w:rFonts w:ascii="Arial" w:hAnsi="Arial" w:cs="Arial"/>
          <w:b/>
          <w:bCs/>
          <w:sz w:val="22"/>
          <w:szCs w:val="22"/>
        </w:rPr>
        <w:t>Figure S10. correlation of Cx3cl1+ cell with 3 types of itch transmission cells in DRG</w:t>
      </w:r>
      <w:r w:rsidRPr="00BA7E47">
        <w:rPr>
          <w:rFonts w:ascii="Arial" w:hAnsi="Arial" w:cs="Arial"/>
          <w:sz w:val="22"/>
          <w:szCs w:val="22"/>
        </w:rPr>
        <w:t xml:space="preserve">. The summarized cell counts shared the same data sets for Fig. 8.  </w:t>
      </w:r>
    </w:p>
    <w:p w14:paraId="1679DB4D" w14:textId="77777777" w:rsidR="00BA7E47" w:rsidRPr="00BA7E47" w:rsidRDefault="00BA7E47"/>
    <w:sectPr w:rsidR="00BA7E47" w:rsidRPr="00BA7E4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8B93E" w14:textId="77777777" w:rsidR="00921E78" w:rsidRDefault="00921E78" w:rsidP="00003059">
      <w:r>
        <w:separator/>
      </w:r>
    </w:p>
  </w:endnote>
  <w:endnote w:type="continuationSeparator" w:id="0">
    <w:p w14:paraId="34FDF76B" w14:textId="77777777" w:rsidR="00921E78" w:rsidRDefault="00921E78" w:rsidP="00003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6A081" w14:textId="77777777" w:rsidR="00921E78" w:rsidRDefault="00921E78" w:rsidP="00003059">
      <w:r>
        <w:separator/>
      </w:r>
    </w:p>
  </w:footnote>
  <w:footnote w:type="continuationSeparator" w:id="0">
    <w:p w14:paraId="2B16E5DE" w14:textId="77777777" w:rsidR="00921E78" w:rsidRDefault="00921E78" w:rsidP="000030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5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6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44B"/>
    <w:rsid w:val="00003059"/>
    <w:rsid w:val="00113BCF"/>
    <w:rsid w:val="0024344B"/>
    <w:rsid w:val="006723F0"/>
    <w:rsid w:val="00784428"/>
    <w:rsid w:val="0082560D"/>
    <w:rsid w:val="00921E78"/>
    <w:rsid w:val="00A1681B"/>
    <w:rsid w:val="00A265BC"/>
    <w:rsid w:val="00A5657A"/>
    <w:rsid w:val="00BA7E47"/>
    <w:rsid w:val="00C17AD5"/>
    <w:rsid w:val="00DB3280"/>
    <w:rsid w:val="00E52B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2"/>
    </o:shapelayout>
  </w:shapeDefaults>
  <w:decimalSymbol w:val="."/>
  <w:listSeparator w:val=","/>
  <w14:docId w14:val="1E85BC94"/>
  <w15:chartTrackingRefBased/>
  <w15:docId w15:val="{00887632-A636-4609-B944-178A4D818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344B"/>
    <w:pPr>
      <w:widowControl w:val="0"/>
      <w:jc w:val="both"/>
    </w:pPr>
    <w:rPr>
      <w:rFonts w:ascii="Times New Roman" w:hAnsi="Times New Roman" w:cs="Times New Roman"/>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0305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03059"/>
    <w:rPr>
      <w:rFonts w:ascii="Times New Roman" w:hAnsi="Times New Roman" w:cs="Times New Roman"/>
      <w:kern w:val="0"/>
      <w:sz w:val="18"/>
      <w:szCs w:val="18"/>
    </w:rPr>
  </w:style>
  <w:style w:type="paragraph" w:styleId="a5">
    <w:name w:val="footer"/>
    <w:basedOn w:val="a"/>
    <w:link w:val="a6"/>
    <w:uiPriority w:val="99"/>
    <w:unhideWhenUsed/>
    <w:rsid w:val="00003059"/>
    <w:pPr>
      <w:tabs>
        <w:tab w:val="center" w:pos="4153"/>
        <w:tab w:val="right" w:pos="8306"/>
      </w:tabs>
      <w:snapToGrid w:val="0"/>
      <w:jc w:val="left"/>
    </w:pPr>
    <w:rPr>
      <w:sz w:val="18"/>
      <w:szCs w:val="18"/>
    </w:rPr>
  </w:style>
  <w:style w:type="character" w:customStyle="1" w:styleId="a6">
    <w:name w:val="页脚 字符"/>
    <w:basedOn w:val="a0"/>
    <w:link w:val="a5"/>
    <w:uiPriority w:val="99"/>
    <w:rsid w:val="00003059"/>
    <w:rPr>
      <w:rFonts w:ascii="Times New Roman" w:hAnsi="Times New Roman"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652805">
      <w:bodyDiv w:val="1"/>
      <w:marLeft w:val="0"/>
      <w:marRight w:val="0"/>
      <w:marTop w:val="0"/>
      <w:marBottom w:val="0"/>
      <w:divBdr>
        <w:top w:val="none" w:sz="0" w:space="0" w:color="auto"/>
        <w:left w:val="none" w:sz="0" w:space="0" w:color="auto"/>
        <w:bottom w:val="none" w:sz="0" w:space="0" w:color="auto"/>
        <w:right w:val="none" w:sz="0" w:space="0" w:color="auto"/>
      </w:divBdr>
    </w:div>
    <w:div w:id="297419535">
      <w:bodyDiv w:val="1"/>
      <w:marLeft w:val="0"/>
      <w:marRight w:val="0"/>
      <w:marTop w:val="0"/>
      <w:marBottom w:val="0"/>
      <w:divBdr>
        <w:top w:val="none" w:sz="0" w:space="0" w:color="auto"/>
        <w:left w:val="none" w:sz="0" w:space="0" w:color="auto"/>
        <w:bottom w:val="none" w:sz="0" w:space="0" w:color="auto"/>
        <w:right w:val="none" w:sz="0" w:space="0" w:color="auto"/>
      </w:divBdr>
    </w:div>
    <w:div w:id="497842467">
      <w:bodyDiv w:val="1"/>
      <w:marLeft w:val="0"/>
      <w:marRight w:val="0"/>
      <w:marTop w:val="0"/>
      <w:marBottom w:val="0"/>
      <w:divBdr>
        <w:top w:val="none" w:sz="0" w:space="0" w:color="auto"/>
        <w:left w:val="none" w:sz="0" w:space="0" w:color="auto"/>
        <w:bottom w:val="none" w:sz="0" w:space="0" w:color="auto"/>
        <w:right w:val="none" w:sz="0" w:space="0" w:color="auto"/>
      </w:divBdr>
    </w:div>
    <w:div w:id="755323166">
      <w:bodyDiv w:val="1"/>
      <w:marLeft w:val="0"/>
      <w:marRight w:val="0"/>
      <w:marTop w:val="0"/>
      <w:marBottom w:val="0"/>
      <w:divBdr>
        <w:top w:val="none" w:sz="0" w:space="0" w:color="auto"/>
        <w:left w:val="none" w:sz="0" w:space="0" w:color="auto"/>
        <w:bottom w:val="none" w:sz="0" w:space="0" w:color="auto"/>
        <w:right w:val="none" w:sz="0" w:space="0" w:color="auto"/>
      </w:divBdr>
    </w:div>
    <w:div w:id="1301033804">
      <w:bodyDiv w:val="1"/>
      <w:marLeft w:val="0"/>
      <w:marRight w:val="0"/>
      <w:marTop w:val="0"/>
      <w:marBottom w:val="0"/>
      <w:divBdr>
        <w:top w:val="none" w:sz="0" w:space="0" w:color="auto"/>
        <w:left w:val="none" w:sz="0" w:space="0" w:color="auto"/>
        <w:bottom w:val="none" w:sz="0" w:space="0" w:color="auto"/>
        <w:right w:val="none" w:sz="0" w:space="0" w:color="auto"/>
      </w:divBdr>
    </w:div>
    <w:div w:id="1309431844">
      <w:bodyDiv w:val="1"/>
      <w:marLeft w:val="0"/>
      <w:marRight w:val="0"/>
      <w:marTop w:val="0"/>
      <w:marBottom w:val="0"/>
      <w:divBdr>
        <w:top w:val="none" w:sz="0" w:space="0" w:color="auto"/>
        <w:left w:val="none" w:sz="0" w:space="0" w:color="auto"/>
        <w:bottom w:val="none" w:sz="0" w:space="0" w:color="auto"/>
        <w:right w:val="none" w:sz="0" w:space="0" w:color="auto"/>
      </w:divBdr>
    </w:div>
    <w:div w:id="1547907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oleObject" Target="embeddings/oleObject4.bin"/><Relationship Id="rId18" Type="http://schemas.openxmlformats.org/officeDocument/2006/relationships/oleObject" Target="embeddings/oleObject6.bin"/><Relationship Id="rId3" Type="http://schemas.openxmlformats.org/officeDocument/2006/relationships/webSettings" Target="webSettings.xml"/><Relationship Id="rId21" Type="http://schemas.openxmlformats.org/officeDocument/2006/relationships/image" Target="media/image9.tiff"/><Relationship Id="rId7" Type="http://schemas.openxmlformats.org/officeDocument/2006/relationships/oleObject" Target="embeddings/oleObject1.bin"/><Relationship Id="rId12" Type="http://schemas.openxmlformats.org/officeDocument/2006/relationships/image" Target="media/image4.emf"/><Relationship Id="rId17" Type="http://schemas.openxmlformats.org/officeDocument/2006/relationships/image" Target="media/image7.emf"/><Relationship Id="rId2" Type="http://schemas.openxmlformats.org/officeDocument/2006/relationships/settings" Target="settings.xml"/><Relationship Id="rId16" Type="http://schemas.openxmlformats.org/officeDocument/2006/relationships/oleObject" Target="embeddings/oleObject5.bin"/><Relationship Id="rId20" Type="http://schemas.openxmlformats.org/officeDocument/2006/relationships/oleObject" Target="embeddings/oleObject7.bin"/><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oleObject" Target="embeddings/oleObject3.bin"/><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6.emf"/><Relationship Id="rId23"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8.emf"/><Relationship Id="rId4" Type="http://schemas.openxmlformats.org/officeDocument/2006/relationships/footnotes" Target="footnotes.xml"/><Relationship Id="rId9" Type="http://schemas.openxmlformats.org/officeDocument/2006/relationships/oleObject" Target="embeddings/oleObject2.bin"/><Relationship Id="rId14" Type="http://schemas.openxmlformats.org/officeDocument/2006/relationships/image" Target="media/image5.tiff"/><Relationship Id="rId22" Type="http://schemas.openxmlformats.org/officeDocument/2006/relationships/image" Target="media/image10.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10</Pages>
  <Words>1215</Words>
  <Characters>6931</Characters>
  <Application>Microsoft Office Word</Application>
  <DocSecurity>0</DocSecurity>
  <Lines>57</Lines>
  <Paragraphs>16</Paragraphs>
  <ScaleCrop>false</ScaleCrop>
  <Company/>
  <LinksUpToDate>false</LinksUpToDate>
  <CharactersWithSpaces>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Peng Jiyun</dc:creator>
  <cp:keywords/>
  <dc:description/>
  <cp:lastModifiedBy>Jiyun Peng</cp:lastModifiedBy>
  <cp:revision>3</cp:revision>
  <dcterms:created xsi:type="dcterms:W3CDTF">2023-06-21T12:39:00Z</dcterms:created>
  <dcterms:modified xsi:type="dcterms:W3CDTF">2023-06-21T12:59:00Z</dcterms:modified>
</cp:coreProperties>
</file>